
<file path=[Content_Types].xml><?xml version="1.0" encoding="utf-8"?>
<Types xmlns="http://schemas.openxmlformats.org/package/2006/content-types">
  <Default Extension="png" ContentType="image/png"/>
  <Default Extension="jpeg" ContentType="image/jpeg"/>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header4.xml" ContentType="application/vnd.openxmlformats-officedocument.wordprocessingml.header+xml"/>
  <Override PartName="/word/header5.xml" ContentType="application/vnd.openxmlformats-officedocument.wordprocessingml.header+xml"/>
  <Override PartName="/word/header6.xml" ContentType="application/vnd.openxmlformats-officedocument.wordprocessingml.header+xml"/>
  <Override PartName="/word/header7.xml" ContentType="application/vnd.openxmlformats-officedocument.wordprocessingml.header+xml"/>
  <Override PartName="/word/footer4.xml" ContentType="application/vnd.openxmlformats-officedocument.wordprocessingml.footer+xml"/>
  <Override PartName="/word/header8.xml" ContentType="application/vnd.openxmlformats-officedocument.wordprocessingml.header+xml"/>
  <Override PartName="/word/header9.xml" ContentType="application/vnd.openxmlformats-officedocument.wordprocessingml.header+xml"/>
  <Override PartName="/word/header10.xml" ContentType="application/vnd.openxmlformats-officedocument.wordprocessingml.header+xml"/>
  <Override PartName="/word/header11.xml" ContentType="application/vnd.openxmlformats-officedocument.wordprocessingml.header+xml"/>
  <Override PartName="/word/header12.xml" ContentType="application/vnd.openxmlformats-officedocument.wordprocessingml.header+xml"/>
  <Override PartName="/word/header13.xml" ContentType="application/vnd.openxmlformats-officedocument.wordprocessingml.header+xml"/>
  <Override PartName="/word/header14.xml" ContentType="application/vnd.openxmlformats-officedocument.wordprocessingml.header+xml"/>
  <Override PartName="/word/header15.xml" ContentType="application/vnd.openxmlformats-officedocument.wordprocessingml.header+xml"/>
  <Override PartName="/word/header16.xml" ContentType="application/vnd.openxmlformats-officedocument.wordprocessingml.header+xml"/>
  <Override PartName="/word/header17.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68309E18" w14:textId="6E9CE21E" w:rsidR="006103BB" w:rsidRPr="00E37467" w:rsidRDefault="005E3749" w:rsidP="00795531">
      <w:pPr>
        <w:pStyle w:val="APPEVENSTYLETOP"/>
        <w:sectPr w:rsidR="006103BB" w:rsidRPr="00E37467" w:rsidSect="00936145">
          <w:headerReference w:type="even" r:id="rId8"/>
          <w:headerReference w:type="default" r:id="rId9"/>
          <w:footerReference w:type="even" r:id="rId10"/>
          <w:footerReference w:type="default" r:id="rId11"/>
          <w:headerReference w:type="first" r:id="rId12"/>
          <w:footerReference w:type="first" r:id="rId13"/>
          <w:pgSz w:w="12240" w:h="15840" w:code="1"/>
          <w:pgMar w:top="1440" w:right="1440" w:bottom="1440" w:left="1440" w:header="0" w:footer="720" w:gutter="0"/>
          <w:pgNumType w:start="1"/>
          <w:cols w:space="720"/>
          <w:titlePg/>
          <w:docGrid w:linePitch="360"/>
        </w:sectPr>
      </w:pPr>
      <w:bookmarkStart w:id="0" w:name="_GoBack"/>
      <w:bookmarkEnd w:id="0"/>
      <w:r>
        <w:drawing>
          <wp:anchor distT="0" distB="0" distL="114300" distR="114300" simplePos="0" relativeHeight="251658241" behindDoc="0" locked="0" layoutInCell="1" allowOverlap="1" wp14:anchorId="3B0C02DD" wp14:editId="2EEB56D0">
            <wp:simplePos x="0" y="0"/>
            <wp:positionH relativeFrom="page">
              <wp:posOffset>0</wp:posOffset>
            </wp:positionH>
            <wp:positionV relativeFrom="paragraph">
              <wp:posOffset>-869950</wp:posOffset>
            </wp:positionV>
            <wp:extent cx="7772400" cy="3841108"/>
            <wp:effectExtent l="0" t="0" r="0" b="7620"/>
            <wp:wrapNone/>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Blue Moon2.jpg"/>
                    <pic:cNvPicPr/>
                  </pic:nvPicPr>
                  <pic:blipFill rotWithShape="1">
                    <a:blip r:embed="rId14" cstate="print">
                      <a:extLst>
                        <a:ext uri="{28A0092B-C50C-407E-A947-70E740481C1C}">
                          <a14:useLocalDpi xmlns:a14="http://schemas.microsoft.com/office/drawing/2010/main" val="0"/>
                        </a:ext>
                      </a:extLst>
                    </a:blip>
                    <a:srcRect/>
                    <a:stretch/>
                  </pic:blipFill>
                  <pic:spPr bwMode="auto">
                    <a:xfrm>
                      <a:off x="0" y="0"/>
                      <a:ext cx="7772400" cy="3841108"/>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sidR="001B141F">
        <mc:AlternateContent>
          <mc:Choice Requires="wps">
            <w:drawing>
              <wp:anchor distT="0" distB="0" distL="114300" distR="114300" simplePos="0" relativeHeight="251658240" behindDoc="0" locked="0" layoutInCell="1" allowOverlap="1" wp14:anchorId="36012E79" wp14:editId="71D7F8A1">
                <wp:simplePos x="0" y="0"/>
                <wp:positionH relativeFrom="page">
                  <wp:align>left</wp:align>
                </wp:positionH>
                <wp:positionV relativeFrom="paragraph">
                  <wp:posOffset>-904875</wp:posOffset>
                </wp:positionV>
                <wp:extent cx="7772400" cy="11064240"/>
                <wp:effectExtent l="0" t="0" r="0" b="3810"/>
                <wp:wrapNone/>
                <wp:docPr id="4" name="Text Box 4"/>
                <wp:cNvGraphicFramePr/>
                <a:graphic xmlns:a="http://schemas.openxmlformats.org/drawingml/2006/main">
                  <a:graphicData uri="http://schemas.microsoft.com/office/word/2010/wordprocessingShape">
                    <wps:wsp>
                      <wps:cNvSpPr txBox="1"/>
                      <wps:spPr>
                        <a:xfrm>
                          <a:off x="0" y="0"/>
                          <a:ext cx="7772400" cy="11064240"/>
                        </a:xfrm>
                        <a:prstGeom prst="rect">
                          <a:avLst/>
                        </a:prstGeom>
                        <a:solidFill>
                          <a:srgbClr val="020538"/>
                        </a:solidFill>
                        <a:ln>
                          <a:noFill/>
                        </a:ln>
                        <a:effectLst/>
                        <a:extLst>
                          <a:ext uri="{C572A759-6A51-4108-AA02-DFA0A04FC94B}">
                            <ma14:wrappingTextBoxFlag xmlns:pic="http://schemas.openxmlformats.org/drawingml/2006/picture" xmlns:a14="http://schemas.microsoft.com/office/drawing/2010/main" xmlns:a16="http://schemas.microsoft.com/office/drawing/2014/main" xmlns:arto="http://schemas.microsoft.com/office/word/2006/arto" xmlns:ma14="http://schemas.microsoft.com/office/mac/drawingml/2011/main" xmlns:w="http://schemas.openxmlformats.org/wordprocessingml/2006/main" xmlns:w10="urn:schemas-microsoft-com:office:word" xmlns:v="urn:schemas-microsoft-com:vml" xmlns:o="urn:schemas-microsoft-com:office:office" xmlns:mv="urn:schemas-microsoft-com:mac:vml" xmlns:mo="http://schemas.microsoft.com/office/mac/office/2008/main" xmlns=""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a:ext>
                        </a:extLst>
                      </wps:spPr>
                      <wps:style>
                        <a:lnRef idx="0">
                          <a:schemeClr val="accent1"/>
                        </a:lnRef>
                        <a:fillRef idx="0">
                          <a:schemeClr val="accent1"/>
                        </a:fillRef>
                        <a:effectRef idx="0">
                          <a:schemeClr val="accent1"/>
                        </a:effectRef>
                        <a:fontRef idx="minor">
                          <a:schemeClr val="dk1"/>
                        </a:fontRef>
                      </wps:style>
                      <wps:txbx>
                        <w:txbxContent>
                          <w:p w14:paraId="6EA5356C" w14:textId="26815392" w:rsidR="00962FB5" w:rsidRDefault="00962FB5" w:rsidP="00E37467"/>
                          <w:p w14:paraId="4A6FCCE6" w14:textId="4FCFB438" w:rsidR="00962FB5" w:rsidRDefault="00962FB5" w:rsidP="00E37467"/>
                          <w:p w14:paraId="6E41AF11" w14:textId="68E62080" w:rsidR="00962FB5" w:rsidRDefault="00962FB5" w:rsidP="00E37467"/>
                          <w:p w14:paraId="5F79BC1E" w14:textId="5C32C122" w:rsidR="00962FB5" w:rsidRDefault="00962FB5" w:rsidP="00E37467"/>
                          <w:p w14:paraId="22282752" w14:textId="797932D4" w:rsidR="00962FB5" w:rsidRDefault="00962FB5" w:rsidP="00E37467"/>
                          <w:p w14:paraId="399FD824" w14:textId="4433B0EC" w:rsidR="00962FB5" w:rsidRDefault="00962FB5" w:rsidP="00E37467"/>
                          <w:p w14:paraId="0E173164" w14:textId="2ACE9322" w:rsidR="00962FB5" w:rsidRDefault="00962FB5" w:rsidP="00E37467"/>
                          <w:p w14:paraId="51EF55F8" w14:textId="65C1E408" w:rsidR="00962FB5" w:rsidRDefault="00962FB5" w:rsidP="00E37467"/>
                          <w:p w14:paraId="5A55F80C" w14:textId="2F19C8D7" w:rsidR="00962FB5" w:rsidRDefault="00962FB5" w:rsidP="00E37467"/>
                          <w:p w14:paraId="0B3AA9D7" w14:textId="64924664" w:rsidR="00962FB5" w:rsidRDefault="00962FB5" w:rsidP="00E37467"/>
                          <w:p w14:paraId="5AA34763" w14:textId="44F691BB" w:rsidR="00962FB5" w:rsidRDefault="00962FB5" w:rsidP="00E37467"/>
                          <w:p w14:paraId="42419AEF" w14:textId="69E1A128" w:rsidR="00962FB5" w:rsidRDefault="00962FB5" w:rsidP="00E37467"/>
                          <w:p w14:paraId="0FF06FAC" w14:textId="2B6E2B67" w:rsidR="00962FB5" w:rsidRDefault="00962FB5" w:rsidP="00E37467"/>
                          <w:p w14:paraId="07FAE717" w14:textId="329C45E8" w:rsidR="00962FB5" w:rsidRDefault="00962FB5" w:rsidP="009F369E">
                            <w:pPr>
                              <w:spacing w:after="0"/>
                              <w:ind w:right="45"/>
                              <w:jc w:val="center"/>
                              <w:rPr>
                                <w:color w:val="FFFFFF" w:themeColor="background1"/>
                              </w:rPr>
                            </w:pPr>
                          </w:p>
                          <w:p w14:paraId="3032A010" w14:textId="51614D45" w:rsidR="00962FB5" w:rsidRDefault="00962FB5" w:rsidP="009F369E">
                            <w:pPr>
                              <w:spacing w:after="0"/>
                              <w:ind w:right="45"/>
                              <w:jc w:val="center"/>
                              <w:rPr>
                                <w:color w:val="FFFFFF" w:themeColor="background1"/>
                              </w:rPr>
                            </w:pPr>
                          </w:p>
                          <w:p w14:paraId="4E4DA5A4" w14:textId="77777777" w:rsidR="00C43DA3" w:rsidRDefault="0073764B" w:rsidP="0073764B">
                            <w:pPr>
                              <w:pStyle w:val="rptmainbodytitleSOM"/>
                              <w:spacing w:before="240"/>
                              <w:ind w:right="43"/>
                              <w:rPr>
                                <w:color w:val="FFFFFF" w:themeColor="background1"/>
                                <w:sz w:val="40"/>
                                <w:szCs w:val="40"/>
                              </w:rPr>
                            </w:pPr>
                            <w:r>
                              <w:rPr>
                                <w:color w:val="FFFFFF" w:themeColor="background1"/>
                                <w:sz w:val="40"/>
                                <w:szCs w:val="40"/>
                              </w:rPr>
                              <w:t xml:space="preserve">Evaluation of Changes in </w:t>
                            </w:r>
                            <w:r w:rsidR="00962FB5" w:rsidRPr="00E37467">
                              <w:rPr>
                                <w:color w:val="FFFFFF" w:themeColor="background1"/>
                                <w:sz w:val="40"/>
                                <w:szCs w:val="40"/>
                              </w:rPr>
                              <w:t xml:space="preserve">the </w:t>
                            </w:r>
                            <w:r>
                              <w:rPr>
                                <w:color w:val="FFFFFF" w:themeColor="background1"/>
                                <w:sz w:val="40"/>
                                <w:szCs w:val="40"/>
                              </w:rPr>
                              <w:t xml:space="preserve">Minimum Offer Price </w:t>
                            </w:r>
                          </w:p>
                          <w:p w14:paraId="16F7FCBD" w14:textId="5C8AC4DB" w:rsidR="00962FB5" w:rsidRPr="00E37467" w:rsidRDefault="0073764B" w:rsidP="00D212EA">
                            <w:pPr>
                              <w:pStyle w:val="rptmainbodytitleSOM"/>
                              <w:ind w:right="43"/>
                              <w:rPr>
                                <w:b w:val="0"/>
                                <w:color w:val="FFFFFF" w:themeColor="background1"/>
                                <w:sz w:val="40"/>
                                <w:szCs w:val="40"/>
                              </w:rPr>
                            </w:pPr>
                            <w:r>
                              <w:rPr>
                                <w:color w:val="FFFFFF" w:themeColor="background1"/>
                                <w:sz w:val="40"/>
                                <w:szCs w:val="40"/>
                              </w:rPr>
                              <w:t>Rules</w:t>
                            </w:r>
                            <w:r w:rsidR="00EC608C">
                              <w:rPr>
                                <w:color w:val="FFFFFF" w:themeColor="background1"/>
                                <w:sz w:val="40"/>
                                <w:szCs w:val="40"/>
                              </w:rPr>
                              <w:t xml:space="preserve"> </w:t>
                            </w:r>
                            <w:r>
                              <w:rPr>
                                <w:color w:val="FFFFFF" w:themeColor="background1"/>
                                <w:sz w:val="40"/>
                                <w:szCs w:val="40"/>
                              </w:rPr>
                              <w:t>on Financial Risk</w:t>
                            </w:r>
                            <w:r w:rsidR="00FF03F0">
                              <w:rPr>
                                <w:color w:val="FFFFFF" w:themeColor="background1"/>
                                <w:sz w:val="40"/>
                                <w:szCs w:val="40"/>
                              </w:rPr>
                              <w:t xml:space="preserve"> in New England</w:t>
                            </w:r>
                          </w:p>
                          <w:p w14:paraId="46155886" w14:textId="70ADE358" w:rsidR="00962FB5" w:rsidRDefault="00962FB5" w:rsidP="009F369E">
                            <w:pPr>
                              <w:spacing w:after="0"/>
                              <w:ind w:right="45"/>
                              <w:jc w:val="center"/>
                              <w:rPr>
                                <w:b/>
                                <w:color w:val="FFFFFF" w:themeColor="background1"/>
                              </w:rPr>
                            </w:pPr>
                          </w:p>
                          <w:p w14:paraId="59F7A55F" w14:textId="7D1E90A2" w:rsidR="006B227E" w:rsidRDefault="006B227E" w:rsidP="009F369E">
                            <w:pPr>
                              <w:spacing w:after="0"/>
                              <w:ind w:right="45"/>
                              <w:jc w:val="center"/>
                              <w:rPr>
                                <w:b/>
                                <w:color w:val="FFFFFF" w:themeColor="background1"/>
                              </w:rPr>
                            </w:pPr>
                          </w:p>
                          <w:p w14:paraId="189F933C" w14:textId="77777777" w:rsidR="00B26A8D" w:rsidRDefault="00B26A8D" w:rsidP="009F369E">
                            <w:pPr>
                              <w:spacing w:after="0"/>
                              <w:ind w:right="45"/>
                              <w:jc w:val="center"/>
                              <w:rPr>
                                <w:b/>
                                <w:color w:val="FFFFFF" w:themeColor="background1"/>
                              </w:rPr>
                            </w:pPr>
                          </w:p>
                          <w:p w14:paraId="70338F22" w14:textId="268252C4" w:rsidR="00FB6321" w:rsidRDefault="006B227E" w:rsidP="009F369E">
                            <w:pPr>
                              <w:spacing w:after="0"/>
                              <w:ind w:right="45"/>
                              <w:jc w:val="center"/>
                              <w:rPr>
                                <w:b/>
                                <w:color w:val="FFFFFF" w:themeColor="background1"/>
                              </w:rPr>
                            </w:pPr>
                            <w:r w:rsidRPr="00A42F4F">
                              <w:rPr>
                                <w:b/>
                                <w:bCs/>
                                <w:color w:val="FFFFFF" w:themeColor="background1"/>
                                <w:sz w:val="32"/>
                                <w:szCs w:val="32"/>
                              </w:rPr>
                              <w:t>Prepared By:</w:t>
                            </w:r>
                          </w:p>
                          <w:p w14:paraId="5EACCEB1" w14:textId="77777777" w:rsidR="006B227E" w:rsidRDefault="006B227E" w:rsidP="009F369E">
                            <w:pPr>
                              <w:spacing w:after="0"/>
                              <w:ind w:right="45"/>
                              <w:jc w:val="center"/>
                              <w:rPr>
                                <w:b/>
                                <w:color w:val="FFFFFF" w:themeColor="background1"/>
                              </w:rPr>
                            </w:pPr>
                          </w:p>
                          <w:p w14:paraId="1271220A" w14:textId="77777777" w:rsidR="00962FB5" w:rsidRPr="00E37467" w:rsidRDefault="00962FB5" w:rsidP="009F369E">
                            <w:pPr>
                              <w:spacing w:after="0"/>
                              <w:ind w:right="45"/>
                              <w:jc w:val="center"/>
                              <w:rPr>
                                <w:b/>
                                <w:color w:val="FFFFFF" w:themeColor="background1"/>
                              </w:rPr>
                            </w:pPr>
                          </w:p>
                          <w:p w14:paraId="0F634B73" w14:textId="17A2AC17" w:rsidR="00962FB5" w:rsidRDefault="00962FB5" w:rsidP="009F369E">
                            <w:pPr>
                              <w:pStyle w:val="rptmainbodysubtitleAUTHORS"/>
                              <w:ind w:right="45"/>
                              <w:rPr>
                                <w:color w:val="FFFFFF" w:themeColor="background1"/>
                              </w:rPr>
                            </w:pPr>
                            <w:r>
                              <w:rPr>
                                <w:noProof/>
                                <w:color w:val="FFFFFF" w:themeColor="background1"/>
                              </w:rPr>
                              <w:drawing>
                                <wp:inline distT="0" distB="0" distL="0" distR="0" wp14:anchorId="56B0BAC8" wp14:editId="0FEA0881">
                                  <wp:extent cx="1725762" cy="953814"/>
                                  <wp:effectExtent l="0" t="0" r="8255" b="0"/>
                                  <wp:docPr id="480" name="Picture 48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2" name="Logo_white_trans_thick.png"/>
                                          <pic:cNvPicPr/>
                                        </pic:nvPicPr>
                                        <pic:blipFill>
                                          <a:blip r:embed="rId15">
                                            <a:extLst>
                                              <a:ext uri="{28A0092B-C50C-407E-A947-70E740481C1C}">
                                                <a14:useLocalDpi xmlns:a14="http://schemas.microsoft.com/office/drawing/2010/main" val="0"/>
                                              </a:ext>
                                            </a:extLst>
                                          </a:blip>
                                          <a:stretch>
                                            <a:fillRect/>
                                          </a:stretch>
                                        </pic:blipFill>
                                        <pic:spPr>
                                          <a:xfrm>
                                            <a:off x="0" y="0"/>
                                            <a:ext cx="1753152" cy="968952"/>
                                          </a:xfrm>
                                          <a:prstGeom prst="rect">
                                            <a:avLst/>
                                          </a:prstGeom>
                                        </pic:spPr>
                                      </pic:pic>
                                    </a:graphicData>
                                  </a:graphic>
                                </wp:inline>
                              </w:drawing>
                            </w:r>
                          </w:p>
                          <w:p w14:paraId="3E832843" w14:textId="77777777" w:rsidR="00962FB5" w:rsidRPr="00E37467" w:rsidRDefault="00962FB5" w:rsidP="009F369E">
                            <w:pPr>
                              <w:pStyle w:val="rptmainbodysubtitleAUTHORS"/>
                              <w:ind w:right="45"/>
                              <w:rPr>
                                <w:color w:val="FFFFFF" w:themeColor="background1"/>
                                <w:sz w:val="28"/>
                                <w:szCs w:val="28"/>
                              </w:rPr>
                            </w:pPr>
                          </w:p>
                          <w:p w14:paraId="6319563B" w14:textId="1DC25A31" w:rsidR="00962FB5" w:rsidRPr="00A42F4F" w:rsidRDefault="00962FB5" w:rsidP="009F369E">
                            <w:pPr>
                              <w:pStyle w:val="rptmainbodysubtitleMMU"/>
                              <w:ind w:right="45"/>
                              <w:rPr>
                                <w:b/>
                                <w:bCs/>
                                <w:color w:val="FFFFFF" w:themeColor="background1"/>
                                <w:sz w:val="32"/>
                                <w:szCs w:val="32"/>
                                <w:lang w:val="es-MX"/>
                              </w:rPr>
                            </w:pPr>
                          </w:p>
                          <w:p w14:paraId="1DB78A90" w14:textId="77777777" w:rsidR="00962FB5" w:rsidRPr="004F06C8" w:rsidRDefault="00962FB5" w:rsidP="009F369E">
                            <w:pPr>
                              <w:pStyle w:val="rptmainbodysubtitleMMU"/>
                              <w:ind w:right="45"/>
                              <w:rPr>
                                <w:b/>
                                <w:color w:val="FFFFFF" w:themeColor="background1"/>
                                <w:sz w:val="32"/>
                                <w:szCs w:val="32"/>
                              </w:rPr>
                            </w:pPr>
                            <w:r w:rsidRPr="004F06C8">
                              <w:rPr>
                                <w:b/>
                                <w:color w:val="FFFFFF" w:themeColor="background1"/>
                                <w:sz w:val="32"/>
                                <w:szCs w:val="32"/>
                              </w:rPr>
                              <w:t>External Market Monitor</w:t>
                            </w:r>
                          </w:p>
                          <w:p w14:paraId="1D50E3D8" w14:textId="37ABB0BD" w:rsidR="00962FB5" w:rsidRPr="00A42F4F" w:rsidRDefault="00962FB5" w:rsidP="009F369E">
                            <w:pPr>
                              <w:pStyle w:val="rptmainbodysubtitleMMU"/>
                              <w:ind w:right="45"/>
                              <w:rPr>
                                <w:b/>
                                <w:bCs/>
                                <w:color w:val="FFFFFF" w:themeColor="background1"/>
                                <w:sz w:val="32"/>
                                <w:szCs w:val="32"/>
                              </w:rPr>
                            </w:pPr>
                            <w:r w:rsidRPr="00A42F4F">
                              <w:rPr>
                                <w:b/>
                                <w:bCs/>
                                <w:color w:val="FFFFFF" w:themeColor="background1"/>
                                <w:sz w:val="32"/>
                                <w:szCs w:val="32"/>
                              </w:rPr>
                              <w:t>for ISO-NE</w:t>
                            </w:r>
                          </w:p>
                          <w:p w14:paraId="16A33480" w14:textId="7DF17E05" w:rsidR="00FB6321" w:rsidRPr="00A42F4F" w:rsidRDefault="00FB6321" w:rsidP="009F369E">
                            <w:pPr>
                              <w:pStyle w:val="rptmainbodysubtitleMMU"/>
                              <w:ind w:right="45"/>
                              <w:rPr>
                                <w:b/>
                                <w:bCs/>
                                <w:color w:val="FFFFFF" w:themeColor="background1"/>
                                <w:sz w:val="32"/>
                                <w:szCs w:val="32"/>
                              </w:rPr>
                            </w:pPr>
                          </w:p>
                          <w:p w14:paraId="6797495B" w14:textId="53C54696" w:rsidR="00962FB5" w:rsidRPr="00A42F4F" w:rsidRDefault="005A0538" w:rsidP="00B26A8D">
                            <w:pPr>
                              <w:pStyle w:val="rptmainbodysubtitleMMU"/>
                              <w:spacing w:before="240"/>
                              <w:ind w:right="43"/>
                              <w:rPr>
                                <w:b/>
                                <w:bCs/>
                                <w:color w:val="FFFFFF" w:themeColor="background1"/>
                                <w:sz w:val="32"/>
                                <w:szCs w:val="32"/>
                              </w:rPr>
                            </w:pPr>
                            <w:r>
                              <w:rPr>
                                <w:b/>
                                <w:bCs/>
                                <w:color w:val="FFFFFF" w:themeColor="background1"/>
                                <w:sz w:val="32"/>
                                <w:szCs w:val="32"/>
                              </w:rPr>
                              <w:t>Novem</w:t>
                            </w:r>
                            <w:r w:rsidR="0073764B">
                              <w:rPr>
                                <w:b/>
                                <w:bCs/>
                                <w:color w:val="FFFFFF" w:themeColor="background1"/>
                                <w:sz w:val="32"/>
                                <w:szCs w:val="32"/>
                              </w:rPr>
                              <w:t>ber</w:t>
                            </w:r>
                            <w:r w:rsidR="00962FB5" w:rsidRPr="00A42F4F">
                              <w:rPr>
                                <w:b/>
                                <w:bCs/>
                                <w:color w:val="FFFFFF" w:themeColor="background1"/>
                                <w:sz w:val="32"/>
                                <w:szCs w:val="32"/>
                              </w:rPr>
                              <w:t xml:space="preserve"> 2021</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w:pict>
              <v:shapetype w14:anchorId="36012E79" id="_x0000_t202" coordsize="21600,21600" o:spt="202" path="m,l,21600r21600,l21600,xe">
                <v:stroke joinstyle="miter"/>
                <v:path gradientshapeok="t" o:connecttype="rect"/>
              </v:shapetype>
              <v:shape id="Text Box 4" o:spid="_x0000_s1026" type="#_x0000_t202" style="position:absolute;margin-left:0;margin-top:-71.25pt;width:612pt;height:871.2pt;z-index:251658240;visibility:visible;mso-wrap-style:square;mso-width-percent:0;mso-height-percent:0;mso-wrap-distance-left:9pt;mso-wrap-distance-top:0;mso-wrap-distance-right:9pt;mso-wrap-distance-bottom:0;mso-position-horizontal:left;mso-position-horizontal-relative:page;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" fillcolor="#020538" stroked="f">
                <v:textbox>
                  <w:txbxContent>
                    <w:p w14:paraId="6EA5356C" w14:textId="26815392" w:rsidR="00962FB5" w:rsidRDefault="00962FB5" w:rsidP="00E37467"/>
                    <w:p w14:paraId="4A6FCCE6" w14:textId="4FCFB438" w:rsidR="00962FB5" w:rsidRDefault="00962FB5" w:rsidP="00E37467"/>
                    <w:p w14:paraId="6E41AF11" w14:textId="68E62080" w:rsidR="00962FB5" w:rsidRDefault="00962FB5" w:rsidP="00E37467"/>
                    <w:p w14:paraId="5F79BC1E" w14:textId="5C32C122" w:rsidR="00962FB5" w:rsidRDefault="00962FB5" w:rsidP="00E37467"/>
                    <w:p w14:paraId="22282752" w14:textId="797932D4" w:rsidR="00962FB5" w:rsidRDefault="00962FB5" w:rsidP="00E37467"/>
                    <w:p w14:paraId="399FD824" w14:textId="4433B0EC" w:rsidR="00962FB5" w:rsidRDefault="00962FB5" w:rsidP="00E37467"/>
                    <w:p w14:paraId="0E173164" w14:textId="2ACE9322" w:rsidR="00962FB5" w:rsidRDefault="00962FB5" w:rsidP="00E37467"/>
                    <w:p w14:paraId="51EF55F8" w14:textId="65C1E408" w:rsidR="00962FB5" w:rsidRDefault="00962FB5" w:rsidP="00E37467"/>
                    <w:p w14:paraId="5A55F80C" w14:textId="2F19C8D7" w:rsidR="00962FB5" w:rsidRDefault="00962FB5" w:rsidP="00E37467"/>
                    <w:p w14:paraId="0B3AA9D7" w14:textId="64924664" w:rsidR="00962FB5" w:rsidRDefault="00962FB5" w:rsidP="00E37467"/>
                    <w:p w14:paraId="5AA34763" w14:textId="44F691BB" w:rsidR="00962FB5" w:rsidRDefault="00962FB5" w:rsidP="00E37467"/>
                    <w:p w14:paraId="42419AEF" w14:textId="69E1A128" w:rsidR="00962FB5" w:rsidRDefault="00962FB5" w:rsidP="00E37467"/>
                    <w:p w14:paraId="0FF06FAC" w14:textId="2B6E2B67" w:rsidR="00962FB5" w:rsidRDefault="00962FB5" w:rsidP="00E37467"/>
                    <w:p w14:paraId="07FAE717" w14:textId="329C45E8" w:rsidR="00962FB5" w:rsidRDefault="00962FB5" w:rsidP="009F369E">
                      <w:pPr>
                        <w:spacing w:after="0"/>
                        <w:ind w:right="45"/>
                        <w:jc w:val="center"/>
                        <w:rPr>
                          <w:color w:val="FFFFFF" w:themeColor="background1"/>
                        </w:rPr>
                      </w:pPr>
                    </w:p>
                    <w:p w14:paraId="3032A010" w14:textId="51614D45" w:rsidR="00962FB5" w:rsidRDefault="00962FB5" w:rsidP="009F369E">
                      <w:pPr>
                        <w:spacing w:after="0"/>
                        <w:ind w:right="45"/>
                        <w:jc w:val="center"/>
                        <w:rPr>
                          <w:color w:val="FFFFFF" w:themeColor="background1"/>
                        </w:rPr>
                      </w:pPr>
                    </w:p>
                    <w:p w14:paraId="4E4DA5A4" w14:textId="77777777" w:rsidR="00C43DA3" w:rsidRDefault="0073764B" w:rsidP="0073764B">
                      <w:pPr>
                        <w:pStyle w:val="rptmainbodytitleSOM"/>
                        <w:spacing w:before="240"/>
                        <w:ind w:right="43"/>
                        <w:rPr>
                          <w:color w:val="FFFFFF" w:themeColor="background1"/>
                          <w:sz w:val="40"/>
                          <w:szCs w:val="40"/>
                        </w:rPr>
                      </w:pPr>
                      <w:r>
                        <w:rPr>
                          <w:color w:val="FFFFFF" w:themeColor="background1"/>
                          <w:sz w:val="40"/>
                          <w:szCs w:val="40"/>
                        </w:rPr>
                        <w:t xml:space="preserve">Evaluation of Changes in </w:t>
                      </w:r>
                      <w:r w:rsidR="00962FB5" w:rsidRPr="00E37467">
                        <w:rPr>
                          <w:color w:val="FFFFFF" w:themeColor="background1"/>
                          <w:sz w:val="40"/>
                          <w:szCs w:val="40"/>
                        </w:rPr>
                        <w:t xml:space="preserve">the </w:t>
                      </w:r>
                      <w:r>
                        <w:rPr>
                          <w:color w:val="FFFFFF" w:themeColor="background1"/>
                          <w:sz w:val="40"/>
                          <w:szCs w:val="40"/>
                        </w:rPr>
                        <w:t xml:space="preserve">Minimum Offer Price </w:t>
                      </w:r>
                    </w:p>
                    <w:p w14:paraId="16F7FCBD" w14:textId="5C8AC4DB" w:rsidR="00962FB5" w:rsidRPr="00E37467" w:rsidRDefault="0073764B" w:rsidP="00D212EA">
                      <w:pPr>
                        <w:pStyle w:val="rptmainbodytitleSOM"/>
                        <w:ind w:right="43"/>
                        <w:rPr>
                          <w:b w:val="0"/>
                          <w:color w:val="FFFFFF" w:themeColor="background1"/>
                          <w:sz w:val="40"/>
                          <w:szCs w:val="40"/>
                        </w:rPr>
                      </w:pPr>
                      <w:r>
                        <w:rPr>
                          <w:color w:val="FFFFFF" w:themeColor="background1"/>
                          <w:sz w:val="40"/>
                          <w:szCs w:val="40"/>
                        </w:rPr>
                        <w:t>Rules</w:t>
                      </w:r>
                      <w:r w:rsidR="00EC608C">
                        <w:rPr>
                          <w:color w:val="FFFFFF" w:themeColor="background1"/>
                          <w:sz w:val="40"/>
                          <w:szCs w:val="40"/>
                        </w:rPr>
                        <w:t xml:space="preserve"> </w:t>
                      </w:r>
                      <w:r>
                        <w:rPr>
                          <w:color w:val="FFFFFF" w:themeColor="background1"/>
                          <w:sz w:val="40"/>
                          <w:szCs w:val="40"/>
                        </w:rPr>
                        <w:t>on Financial Risk</w:t>
                      </w:r>
                      <w:r w:rsidR="00FF03F0">
                        <w:rPr>
                          <w:color w:val="FFFFFF" w:themeColor="background1"/>
                          <w:sz w:val="40"/>
                          <w:szCs w:val="40"/>
                        </w:rPr>
                        <w:t xml:space="preserve"> in New England</w:t>
                      </w:r>
                    </w:p>
                    <w:p w14:paraId="46155886" w14:textId="70ADE358" w:rsidR="00962FB5" w:rsidRDefault="00962FB5" w:rsidP="009F369E">
                      <w:pPr>
                        <w:spacing w:after="0"/>
                        <w:ind w:right="45"/>
                        <w:jc w:val="center"/>
                        <w:rPr>
                          <w:b/>
                          <w:color w:val="FFFFFF" w:themeColor="background1"/>
                        </w:rPr>
                      </w:pPr>
                    </w:p>
                    <w:p w14:paraId="59F7A55F" w14:textId="7D1E90A2" w:rsidR="006B227E" w:rsidRDefault="006B227E" w:rsidP="009F369E">
                      <w:pPr>
                        <w:spacing w:after="0"/>
                        <w:ind w:right="45"/>
                        <w:jc w:val="center"/>
                        <w:rPr>
                          <w:b/>
                          <w:color w:val="FFFFFF" w:themeColor="background1"/>
                        </w:rPr>
                      </w:pPr>
                    </w:p>
                    <w:p w14:paraId="189F933C" w14:textId="77777777" w:rsidR="00B26A8D" w:rsidRDefault="00B26A8D" w:rsidP="009F369E">
                      <w:pPr>
                        <w:spacing w:after="0"/>
                        <w:ind w:right="45"/>
                        <w:jc w:val="center"/>
                        <w:rPr>
                          <w:b/>
                          <w:color w:val="FFFFFF" w:themeColor="background1"/>
                        </w:rPr>
                      </w:pPr>
                    </w:p>
                    <w:p w14:paraId="70338F22" w14:textId="268252C4" w:rsidR="00FB6321" w:rsidRDefault="006B227E" w:rsidP="009F369E">
                      <w:pPr>
                        <w:spacing w:after="0"/>
                        <w:ind w:right="45"/>
                        <w:jc w:val="center"/>
                        <w:rPr>
                          <w:b/>
                          <w:color w:val="FFFFFF" w:themeColor="background1"/>
                        </w:rPr>
                      </w:pPr>
                      <w:r w:rsidRPr="00A42F4F">
                        <w:rPr>
                          <w:b/>
                          <w:bCs/>
                          <w:color w:val="FFFFFF" w:themeColor="background1"/>
                          <w:sz w:val="32"/>
                          <w:szCs w:val="32"/>
                        </w:rPr>
                        <w:t>Prepared By:</w:t>
                      </w:r>
                    </w:p>
                    <w:p w14:paraId="5EACCEB1" w14:textId="77777777" w:rsidR="006B227E" w:rsidRDefault="006B227E" w:rsidP="009F369E">
                      <w:pPr>
                        <w:spacing w:after="0"/>
                        <w:ind w:right="45"/>
                        <w:jc w:val="center"/>
                        <w:rPr>
                          <w:b/>
                          <w:color w:val="FFFFFF" w:themeColor="background1"/>
                        </w:rPr>
                      </w:pPr>
                    </w:p>
                    <w:p w14:paraId="1271220A" w14:textId="77777777" w:rsidR="00962FB5" w:rsidRPr="00E37467" w:rsidRDefault="00962FB5" w:rsidP="009F369E">
                      <w:pPr>
                        <w:spacing w:after="0"/>
                        <w:ind w:right="45"/>
                        <w:jc w:val="center"/>
                        <w:rPr>
                          <w:b/>
                          <w:color w:val="FFFFFF" w:themeColor="background1"/>
                        </w:rPr>
                      </w:pPr>
                    </w:p>
                    <w:p w14:paraId="0F634B73" w14:textId="17A2AC17" w:rsidR="00962FB5" w:rsidRDefault="00962FB5" w:rsidP="009F369E">
                      <w:pPr>
                        <w:pStyle w:val="rptmainbodysubtitleAUTHORS"/>
                        <w:ind w:right="45"/>
                        <w:rPr>
                          <w:color w:val="FFFFFF" w:themeColor="background1"/>
                        </w:rPr>
                      </w:pPr>
                      <w:r>
                        <w:rPr>
                          <w:noProof/>
                          <w:color w:val="FFFFFF" w:themeColor="background1"/>
                          <w:lang w:eastAsia="zh-CN"/>
                        </w:rPr>
                        <w:drawing>
                          <wp:inline distT="0" distB="0" distL="0" distR="0" wp14:anchorId="56B0BAC8" wp14:editId="0FEA0881">
                            <wp:extent cx="1725762" cy="953814"/>
                            <wp:effectExtent l="0" t="0" r="8255" b="0"/>
                            <wp:docPr id="480" name="Picture 48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2" name="Logo_white_trans_thick.png"/>
                                    <pic:cNvPicPr/>
                                  </pic:nvPicPr>
                                  <pic:blipFill>
                                    <a:blip r:embed="rId16">
                                      <a:extLst>
                                        <a:ext uri="{28A0092B-C50C-407E-A947-70E740481C1C}">
                                          <a14:useLocalDpi xmlns:a14="http://schemas.microsoft.com/office/drawing/2010/main" val="0"/>
                                        </a:ext>
                                      </a:extLst>
                                    </a:blip>
                                    <a:stretch>
                                      <a:fillRect/>
                                    </a:stretch>
                                  </pic:blipFill>
                                  <pic:spPr>
                                    <a:xfrm>
                                      <a:off x="0" y="0"/>
                                      <a:ext cx="1753152" cy="968952"/>
                                    </a:xfrm>
                                    <a:prstGeom prst="rect">
                                      <a:avLst/>
                                    </a:prstGeom>
                                  </pic:spPr>
                                </pic:pic>
                              </a:graphicData>
                            </a:graphic>
                          </wp:inline>
                        </w:drawing>
                      </w:r>
                    </w:p>
                    <w:p w14:paraId="3E832843" w14:textId="77777777" w:rsidR="00962FB5" w:rsidRPr="00E37467" w:rsidRDefault="00962FB5" w:rsidP="009F369E">
                      <w:pPr>
                        <w:pStyle w:val="rptmainbodysubtitleAUTHORS"/>
                        <w:ind w:right="45"/>
                        <w:rPr>
                          <w:color w:val="FFFFFF" w:themeColor="background1"/>
                          <w:sz w:val="28"/>
                          <w:szCs w:val="28"/>
                        </w:rPr>
                      </w:pPr>
                    </w:p>
                    <w:p w14:paraId="6319563B" w14:textId="1DC25A31" w:rsidR="00962FB5" w:rsidRPr="00A42F4F" w:rsidRDefault="00962FB5" w:rsidP="009F369E">
                      <w:pPr>
                        <w:pStyle w:val="rptmainbodysubtitleMMU"/>
                        <w:ind w:right="45"/>
                        <w:rPr>
                          <w:b/>
                          <w:bCs/>
                          <w:color w:val="FFFFFF" w:themeColor="background1"/>
                          <w:sz w:val="32"/>
                          <w:szCs w:val="32"/>
                          <w:lang w:val="es-MX"/>
                        </w:rPr>
                      </w:pPr>
                    </w:p>
                    <w:p w14:paraId="1DB78A90" w14:textId="77777777" w:rsidR="00962FB5" w:rsidRPr="004F06C8" w:rsidRDefault="00962FB5" w:rsidP="009F369E">
                      <w:pPr>
                        <w:pStyle w:val="rptmainbodysubtitleMMU"/>
                        <w:ind w:right="45"/>
                        <w:rPr>
                          <w:b/>
                          <w:color w:val="FFFFFF" w:themeColor="background1"/>
                          <w:sz w:val="32"/>
                          <w:szCs w:val="32"/>
                        </w:rPr>
                      </w:pPr>
                      <w:r w:rsidRPr="004F06C8">
                        <w:rPr>
                          <w:b/>
                          <w:color w:val="FFFFFF" w:themeColor="background1"/>
                          <w:sz w:val="32"/>
                          <w:szCs w:val="32"/>
                        </w:rPr>
                        <w:t>External Market Monitor</w:t>
                      </w:r>
                    </w:p>
                    <w:p w14:paraId="1D50E3D8" w14:textId="37ABB0BD" w:rsidR="00962FB5" w:rsidRPr="00A42F4F" w:rsidRDefault="00962FB5" w:rsidP="009F369E">
                      <w:pPr>
                        <w:pStyle w:val="rptmainbodysubtitleMMU"/>
                        <w:ind w:right="45"/>
                        <w:rPr>
                          <w:b/>
                          <w:bCs/>
                          <w:color w:val="FFFFFF" w:themeColor="background1"/>
                          <w:sz w:val="32"/>
                          <w:szCs w:val="32"/>
                        </w:rPr>
                      </w:pPr>
                      <w:r w:rsidRPr="00A42F4F">
                        <w:rPr>
                          <w:b/>
                          <w:bCs/>
                          <w:color w:val="FFFFFF" w:themeColor="background1"/>
                          <w:sz w:val="32"/>
                          <w:szCs w:val="32"/>
                        </w:rPr>
                        <w:t>for ISO-NE</w:t>
                      </w:r>
                    </w:p>
                    <w:p w14:paraId="16A33480" w14:textId="7DF17E05" w:rsidR="00FB6321" w:rsidRPr="00A42F4F" w:rsidRDefault="00FB6321" w:rsidP="009F369E">
                      <w:pPr>
                        <w:pStyle w:val="rptmainbodysubtitleMMU"/>
                        <w:ind w:right="45"/>
                        <w:rPr>
                          <w:b/>
                          <w:bCs/>
                          <w:color w:val="FFFFFF" w:themeColor="background1"/>
                          <w:sz w:val="32"/>
                          <w:szCs w:val="32"/>
                        </w:rPr>
                      </w:pPr>
                    </w:p>
                    <w:p w14:paraId="6797495B" w14:textId="53C54696" w:rsidR="00962FB5" w:rsidRPr="00A42F4F" w:rsidRDefault="005A0538" w:rsidP="00B26A8D">
                      <w:pPr>
                        <w:pStyle w:val="rptmainbodysubtitleMMU"/>
                        <w:spacing w:before="240"/>
                        <w:ind w:right="43"/>
                        <w:rPr>
                          <w:b/>
                          <w:bCs/>
                          <w:color w:val="FFFFFF" w:themeColor="background1"/>
                          <w:sz w:val="32"/>
                          <w:szCs w:val="32"/>
                        </w:rPr>
                      </w:pPr>
                      <w:r>
                        <w:rPr>
                          <w:b/>
                          <w:bCs/>
                          <w:color w:val="FFFFFF" w:themeColor="background1"/>
                          <w:sz w:val="32"/>
                          <w:szCs w:val="32"/>
                        </w:rPr>
                        <w:t>Novem</w:t>
                      </w:r>
                      <w:r w:rsidR="0073764B">
                        <w:rPr>
                          <w:b/>
                          <w:bCs/>
                          <w:color w:val="FFFFFF" w:themeColor="background1"/>
                          <w:sz w:val="32"/>
                          <w:szCs w:val="32"/>
                        </w:rPr>
                        <w:t>ber</w:t>
                      </w:r>
                      <w:r w:rsidR="00962FB5" w:rsidRPr="00A42F4F">
                        <w:rPr>
                          <w:b/>
                          <w:bCs/>
                          <w:color w:val="FFFFFF" w:themeColor="background1"/>
                          <w:sz w:val="32"/>
                          <w:szCs w:val="32"/>
                        </w:rPr>
                        <w:t xml:space="preserve"> 2021</w:t>
                      </w:r>
                    </w:p>
                  </w:txbxContent>
                </v:textbox>
                <w10:wrap anchorx="page"/>
              </v:shape>
            </w:pict>
          </mc:Fallback>
        </mc:AlternateContent>
      </w:r>
    </w:p>
    <w:p w14:paraId="2CDF5C9C" w14:textId="77777777" w:rsidR="002025CB" w:rsidRDefault="002025CB" w:rsidP="009F369E">
      <w:pPr>
        <w:pStyle w:val="TableofFigures"/>
        <w:spacing w:after="240"/>
        <w:jc w:val="center"/>
        <w:rPr>
          <w:rFonts w:ascii="Times New Roman Bold" w:eastAsiaTheme="majorEastAsia" w:hAnsi="Times New Roman Bold" w:cstheme="majorBidi" w:hint="eastAsia"/>
          <w:b/>
          <w:bCs/>
          <w:smallCaps/>
          <w:color w:val="214DAF"/>
          <w:sz w:val="28"/>
          <w:szCs w:val="28"/>
        </w:rPr>
      </w:pPr>
    </w:p>
    <w:p w14:paraId="00AEC5C1" w14:textId="7A370C4A" w:rsidR="00B51734" w:rsidRPr="009F369E" w:rsidRDefault="006103BB" w:rsidP="009F369E">
      <w:pPr>
        <w:pStyle w:val="TableofFigures"/>
        <w:spacing w:after="240"/>
        <w:jc w:val="center"/>
        <w:rPr>
          <w:rFonts w:ascii="Times New Roman Bold" w:eastAsiaTheme="majorEastAsia" w:hAnsi="Times New Roman Bold" w:cstheme="majorBidi" w:hint="eastAsia"/>
          <w:b/>
          <w:bCs/>
          <w:smallCaps/>
          <w:color w:val="214DAF"/>
          <w:sz w:val="28"/>
          <w:szCs w:val="28"/>
        </w:rPr>
      </w:pPr>
      <w:r w:rsidRPr="009F369E">
        <w:rPr>
          <w:rFonts w:ascii="Times New Roman Bold" w:eastAsiaTheme="majorEastAsia" w:hAnsi="Times New Roman Bold" w:cstheme="majorBidi"/>
          <w:b/>
          <w:bCs/>
          <w:smallCaps/>
          <w:color w:val="214DAF"/>
          <w:sz w:val="28"/>
          <w:szCs w:val="28"/>
        </w:rPr>
        <w:t>Table of Contents</w:t>
      </w:r>
    </w:p>
    <w:p w14:paraId="72FB11C3" w14:textId="01A62C59" w:rsidR="00D23C5F" w:rsidRDefault="007D2977">
      <w:pPr>
        <w:pStyle w:val="TOC1"/>
        <w:rPr>
          <w:rFonts w:asciiTheme="minorHAnsi" w:eastAsiaTheme="minorEastAsia" w:hAnsiTheme="minorHAnsi" w:cstheme="minorBidi"/>
          <w:b w:val="0"/>
          <w:bCs w:val="0"/>
          <w:noProof/>
          <w:sz w:val="22"/>
          <w:szCs w:val="22"/>
        </w:rPr>
      </w:pPr>
      <w:r>
        <w:rPr>
          <w:sz w:val="24"/>
        </w:rPr>
        <w:fldChar w:fldCharType="begin"/>
      </w:r>
      <w:r>
        <w:rPr>
          <w:sz w:val="24"/>
        </w:rPr>
        <w:instrText xml:space="preserve"> TOC \h \z \t "Heading 1,1,Heading 2,2,rpt_execsumm_heading_1,1,rpt_mainbody_heading_1,1,rpt_mainbody_heading_2,2" </w:instrText>
      </w:r>
      <w:r>
        <w:rPr>
          <w:sz w:val="24"/>
        </w:rPr>
        <w:fldChar w:fldCharType="separate"/>
      </w:r>
      <w:hyperlink w:anchor="_Toc86419514" w:history="1">
        <w:r w:rsidR="00D23C5F" w:rsidRPr="00A67384">
          <w:rPr>
            <w:rStyle w:val="Hyperlink"/>
            <w:noProof/>
          </w:rPr>
          <w:t>Preface</w:t>
        </w:r>
        <w:r w:rsidR="00D23C5F">
          <w:rPr>
            <w:noProof/>
            <w:webHidden/>
          </w:rPr>
          <w:tab/>
        </w:r>
        <w:r w:rsidR="00D23C5F">
          <w:rPr>
            <w:noProof/>
            <w:webHidden/>
          </w:rPr>
          <w:fldChar w:fldCharType="begin"/>
        </w:r>
        <w:r w:rsidR="00D23C5F">
          <w:rPr>
            <w:noProof/>
            <w:webHidden/>
          </w:rPr>
          <w:instrText xml:space="preserve"> PAGEREF _Toc86419514 \h </w:instrText>
        </w:r>
        <w:r w:rsidR="00D23C5F">
          <w:rPr>
            <w:noProof/>
            <w:webHidden/>
          </w:rPr>
        </w:r>
        <w:r w:rsidR="00D23C5F">
          <w:rPr>
            <w:noProof/>
            <w:webHidden/>
          </w:rPr>
          <w:fldChar w:fldCharType="separate"/>
        </w:r>
        <w:r w:rsidR="00D23C5F">
          <w:rPr>
            <w:noProof/>
            <w:webHidden/>
          </w:rPr>
          <w:t>iii</w:t>
        </w:r>
        <w:r w:rsidR="00D23C5F">
          <w:rPr>
            <w:noProof/>
            <w:webHidden/>
          </w:rPr>
          <w:fldChar w:fldCharType="end"/>
        </w:r>
      </w:hyperlink>
    </w:p>
    <w:p w14:paraId="24E55110" w14:textId="02006A20" w:rsidR="00D23C5F" w:rsidRDefault="00B32DE0">
      <w:pPr>
        <w:pStyle w:val="TOC1"/>
        <w:rPr>
          <w:rFonts w:asciiTheme="minorHAnsi" w:eastAsiaTheme="minorEastAsia" w:hAnsiTheme="minorHAnsi" w:cstheme="minorBidi"/>
          <w:b w:val="0"/>
          <w:bCs w:val="0"/>
          <w:noProof/>
          <w:sz w:val="22"/>
          <w:szCs w:val="22"/>
        </w:rPr>
      </w:pPr>
      <w:hyperlink w:anchor="_Toc86419515" w:history="1">
        <w:r w:rsidR="00D23C5F" w:rsidRPr="00A67384">
          <w:rPr>
            <w:rStyle w:val="Hyperlink"/>
            <w:noProof/>
          </w:rPr>
          <w:t>Executive Summary</w:t>
        </w:r>
        <w:r w:rsidR="00D23C5F">
          <w:rPr>
            <w:noProof/>
            <w:webHidden/>
          </w:rPr>
          <w:tab/>
        </w:r>
        <w:r w:rsidR="00D23C5F">
          <w:rPr>
            <w:noProof/>
            <w:webHidden/>
          </w:rPr>
          <w:fldChar w:fldCharType="begin"/>
        </w:r>
        <w:r w:rsidR="00D23C5F">
          <w:rPr>
            <w:noProof/>
            <w:webHidden/>
          </w:rPr>
          <w:instrText xml:space="preserve"> PAGEREF _Toc86419515 \h </w:instrText>
        </w:r>
        <w:r w:rsidR="00D23C5F">
          <w:rPr>
            <w:noProof/>
            <w:webHidden/>
          </w:rPr>
        </w:r>
        <w:r w:rsidR="00D23C5F">
          <w:rPr>
            <w:noProof/>
            <w:webHidden/>
          </w:rPr>
          <w:fldChar w:fldCharType="separate"/>
        </w:r>
        <w:r w:rsidR="00D23C5F">
          <w:rPr>
            <w:noProof/>
            <w:webHidden/>
          </w:rPr>
          <w:t>5</w:t>
        </w:r>
        <w:r w:rsidR="00D23C5F">
          <w:rPr>
            <w:noProof/>
            <w:webHidden/>
          </w:rPr>
          <w:fldChar w:fldCharType="end"/>
        </w:r>
      </w:hyperlink>
    </w:p>
    <w:p w14:paraId="0C63A9F5" w14:textId="2E4049EA" w:rsidR="00D23C5F" w:rsidRDefault="00B32DE0">
      <w:pPr>
        <w:pStyle w:val="TOC1"/>
        <w:rPr>
          <w:rFonts w:asciiTheme="minorHAnsi" w:eastAsiaTheme="minorEastAsia" w:hAnsiTheme="minorHAnsi" w:cstheme="minorBidi"/>
          <w:b w:val="0"/>
          <w:bCs w:val="0"/>
          <w:noProof/>
          <w:sz w:val="22"/>
          <w:szCs w:val="22"/>
        </w:rPr>
      </w:pPr>
      <w:hyperlink w:anchor="_Toc86419516" w:history="1">
        <w:r w:rsidR="00D23C5F" w:rsidRPr="00A67384">
          <w:rPr>
            <w:rStyle w:val="Hyperlink"/>
            <w:noProof/>
          </w:rPr>
          <w:t>I.</w:t>
        </w:r>
        <w:r w:rsidR="00D23C5F">
          <w:rPr>
            <w:rFonts w:asciiTheme="minorHAnsi" w:eastAsiaTheme="minorEastAsia" w:hAnsiTheme="minorHAnsi" w:cstheme="minorBidi"/>
            <w:b w:val="0"/>
            <w:bCs w:val="0"/>
            <w:noProof/>
            <w:sz w:val="22"/>
            <w:szCs w:val="22"/>
          </w:rPr>
          <w:tab/>
        </w:r>
        <w:r w:rsidR="00D23C5F" w:rsidRPr="00A67384">
          <w:rPr>
            <w:rStyle w:val="Hyperlink"/>
            <w:noProof/>
          </w:rPr>
          <w:t>Background and Scope of Study</w:t>
        </w:r>
        <w:r w:rsidR="00D23C5F">
          <w:rPr>
            <w:noProof/>
            <w:webHidden/>
          </w:rPr>
          <w:tab/>
        </w:r>
        <w:r w:rsidR="00D23C5F">
          <w:rPr>
            <w:noProof/>
            <w:webHidden/>
          </w:rPr>
          <w:fldChar w:fldCharType="begin"/>
        </w:r>
        <w:r w:rsidR="00D23C5F">
          <w:rPr>
            <w:noProof/>
            <w:webHidden/>
          </w:rPr>
          <w:instrText xml:space="preserve"> PAGEREF _Toc86419516 \h </w:instrText>
        </w:r>
        <w:r w:rsidR="00D23C5F">
          <w:rPr>
            <w:noProof/>
            <w:webHidden/>
          </w:rPr>
        </w:r>
        <w:r w:rsidR="00D23C5F">
          <w:rPr>
            <w:noProof/>
            <w:webHidden/>
          </w:rPr>
          <w:fldChar w:fldCharType="separate"/>
        </w:r>
        <w:r w:rsidR="00D23C5F">
          <w:rPr>
            <w:noProof/>
            <w:webHidden/>
          </w:rPr>
          <w:t>7</w:t>
        </w:r>
        <w:r w:rsidR="00D23C5F">
          <w:rPr>
            <w:noProof/>
            <w:webHidden/>
          </w:rPr>
          <w:fldChar w:fldCharType="end"/>
        </w:r>
      </w:hyperlink>
    </w:p>
    <w:p w14:paraId="667BD8FE" w14:textId="5CB8D607" w:rsidR="00D23C5F" w:rsidRDefault="00B32DE0">
      <w:pPr>
        <w:pStyle w:val="TOC1"/>
        <w:rPr>
          <w:rFonts w:asciiTheme="minorHAnsi" w:eastAsiaTheme="minorEastAsia" w:hAnsiTheme="minorHAnsi" w:cstheme="minorBidi"/>
          <w:b w:val="0"/>
          <w:bCs w:val="0"/>
          <w:noProof/>
          <w:sz w:val="22"/>
          <w:szCs w:val="22"/>
        </w:rPr>
      </w:pPr>
      <w:hyperlink w:anchor="_Toc86419517" w:history="1">
        <w:r w:rsidR="00D23C5F" w:rsidRPr="00A67384">
          <w:rPr>
            <w:rStyle w:val="Hyperlink"/>
            <w:noProof/>
          </w:rPr>
          <w:t>II.</w:t>
        </w:r>
        <w:r w:rsidR="00D23C5F">
          <w:rPr>
            <w:rFonts w:asciiTheme="minorHAnsi" w:eastAsiaTheme="minorEastAsia" w:hAnsiTheme="minorHAnsi" w:cstheme="minorBidi"/>
            <w:b w:val="0"/>
            <w:bCs w:val="0"/>
            <w:noProof/>
            <w:sz w:val="22"/>
            <w:szCs w:val="22"/>
          </w:rPr>
          <w:tab/>
        </w:r>
        <w:r w:rsidR="00D23C5F" w:rsidRPr="00A67384">
          <w:rPr>
            <w:rStyle w:val="Hyperlink"/>
            <w:noProof/>
          </w:rPr>
          <w:t>Impact of MOPR on Financial Risk for Investors</w:t>
        </w:r>
        <w:r w:rsidR="00D23C5F">
          <w:rPr>
            <w:noProof/>
            <w:webHidden/>
          </w:rPr>
          <w:tab/>
        </w:r>
        <w:r w:rsidR="00D23C5F">
          <w:rPr>
            <w:noProof/>
            <w:webHidden/>
          </w:rPr>
          <w:fldChar w:fldCharType="begin"/>
        </w:r>
        <w:r w:rsidR="00D23C5F">
          <w:rPr>
            <w:noProof/>
            <w:webHidden/>
          </w:rPr>
          <w:instrText xml:space="preserve"> PAGEREF _Toc86419517 \h </w:instrText>
        </w:r>
        <w:r w:rsidR="00D23C5F">
          <w:rPr>
            <w:noProof/>
            <w:webHidden/>
          </w:rPr>
        </w:r>
        <w:r w:rsidR="00D23C5F">
          <w:rPr>
            <w:noProof/>
            <w:webHidden/>
          </w:rPr>
          <w:fldChar w:fldCharType="separate"/>
        </w:r>
        <w:r w:rsidR="00D23C5F">
          <w:rPr>
            <w:noProof/>
            <w:webHidden/>
          </w:rPr>
          <w:t>9</w:t>
        </w:r>
        <w:r w:rsidR="00D23C5F">
          <w:rPr>
            <w:noProof/>
            <w:webHidden/>
          </w:rPr>
          <w:fldChar w:fldCharType="end"/>
        </w:r>
      </w:hyperlink>
    </w:p>
    <w:p w14:paraId="384082EF" w14:textId="62C0BBDC" w:rsidR="00D23C5F" w:rsidRDefault="00B32DE0">
      <w:pPr>
        <w:pStyle w:val="TOC2"/>
        <w:rPr>
          <w:rFonts w:asciiTheme="minorHAnsi" w:eastAsiaTheme="minorEastAsia" w:hAnsiTheme="minorHAnsi" w:cstheme="minorBidi"/>
          <w:iCs w:val="0"/>
          <w:noProof/>
          <w:sz w:val="22"/>
          <w:szCs w:val="22"/>
        </w:rPr>
      </w:pPr>
      <w:hyperlink w:anchor="_Toc86419518" w:history="1">
        <w:r w:rsidR="00D23C5F" w:rsidRPr="00A67384">
          <w:rPr>
            <w:rStyle w:val="Hyperlink"/>
            <w:noProof/>
          </w:rPr>
          <w:t>A.</w:t>
        </w:r>
        <w:r w:rsidR="00D23C5F">
          <w:rPr>
            <w:rFonts w:asciiTheme="minorHAnsi" w:eastAsiaTheme="minorEastAsia" w:hAnsiTheme="minorHAnsi" w:cstheme="minorBidi"/>
            <w:iCs w:val="0"/>
            <w:noProof/>
            <w:sz w:val="22"/>
            <w:szCs w:val="22"/>
          </w:rPr>
          <w:tab/>
        </w:r>
        <w:r w:rsidR="00D23C5F" w:rsidRPr="00A67384">
          <w:rPr>
            <w:rStyle w:val="Hyperlink"/>
            <w:noProof/>
          </w:rPr>
          <w:t>Principles of Capacity Market Design</w:t>
        </w:r>
        <w:r w:rsidR="00D23C5F">
          <w:rPr>
            <w:noProof/>
            <w:webHidden/>
          </w:rPr>
          <w:tab/>
        </w:r>
        <w:r w:rsidR="00D23C5F">
          <w:rPr>
            <w:noProof/>
            <w:webHidden/>
          </w:rPr>
          <w:fldChar w:fldCharType="begin"/>
        </w:r>
        <w:r w:rsidR="00D23C5F">
          <w:rPr>
            <w:noProof/>
            <w:webHidden/>
          </w:rPr>
          <w:instrText xml:space="preserve"> PAGEREF _Toc86419518 \h </w:instrText>
        </w:r>
        <w:r w:rsidR="00D23C5F">
          <w:rPr>
            <w:noProof/>
            <w:webHidden/>
          </w:rPr>
        </w:r>
        <w:r w:rsidR="00D23C5F">
          <w:rPr>
            <w:noProof/>
            <w:webHidden/>
          </w:rPr>
          <w:fldChar w:fldCharType="separate"/>
        </w:r>
        <w:r w:rsidR="00D23C5F">
          <w:rPr>
            <w:noProof/>
            <w:webHidden/>
          </w:rPr>
          <w:t>9</w:t>
        </w:r>
        <w:r w:rsidR="00D23C5F">
          <w:rPr>
            <w:noProof/>
            <w:webHidden/>
          </w:rPr>
          <w:fldChar w:fldCharType="end"/>
        </w:r>
      </w:hyperlink>
    </w:p>
    <w:p w14:paraId="1DEBCB91" w14:textId="0B5078E4" w:rsidR="00D23C5F" w:rsidRDefault="00B32DE0">
      <w:pPr>
        <w:pStyle w:val="TOC2"/>
        <w:rPr>
          <w:rFonts w:asciiTheme="minorHAnsi" w:eastAsiaTheme="minorEastAsia" w:hAnsiTheme="minorHAnsi" w:cstheme="minorBidi"/>
          <w:iCs w:val="0"/>
          <w:noProof/>
          <w:sz w:val="22"/>
          <w:szCs w:val="22"/>
        </w:rPr>
      </w:pPr>
      <w:hyperlink w:anchor="_Toc86419519" w:history="1">
        <w:r w:rsidR="00D23C5F" w:rsidRPr="00A67384">
          <w:rPr>
            <w:rStyle w:val="Hyperlink"/>
            <w:noProof/>
            <w:lang w:eastAsia="zh-CN"/>
          </w:rPr>
          <w:t>B.</w:t>
        </w:r>
        <w:r w:rsidR="00D23C5F">
          <w:rPr>
            <w:rFonts w:asciiTheme="minorHAnsi" w:eastAsiaTheme="minorEastAsia" w:hAnsiTheme="minorHAnsi" w:cstheme="minorBidi"/>
            <w:iCs w:val="0"/>
            <w:noProof/>
            <w:sz w:val="22"/>
            <w:szCs w:val="22"/>
          </w:rPr>
          <w:tab/>
        </w:r>
        <w:r w:rsidR="00D23C5F" w:rsidRPr="00A67384">
          <w:rPr>
            <w:rStyle w:val="Hyperlink"/>
            <w:noProof/>
            <w:lang w:eastAsia="zh-CN"/>
          </w:rPr>
          <w:t>Market Risk with and without Out-of-Market Entry</w:t>
        </w:r>
        <w:r w:rsidR="00D23C5F">
          <w:rPr>
            <w:noProof/>
            <w:webHidden/>
          </w:rPr>
          <w:tab/>
        </w:r>
        <w:r w:rsidR="00D23C5F">
          <w:rPr>
            <w:noProof/>
            <w:webHidden/>
          </w:rPr>
          <w:fldChar w:fldCharType="begin"/>
        </w:r>
        <w:r w:rsidR="00D23C5F">
          <w:rPr>
            <w:noProof/>
            <w:webHidden/>
          </w:rPr>
          <w:instrText xml:space="preserve"> PAGEREF _Toc86419519 \h </w:instrText>
        </w:r>
        <w:r w:rsidR="00D23C5F">
          <w:rPr>
            <w:noProof/>
            <w:webHidden/>
          </w:rPr>
        </w:r>
        <w:r w:rsidR="00D23C5F">
          <w:rPr>
            <w:noProof/>
            <w:webHidden/>
          </w:rPr>
          <w:fldChar w:fldCharType="separate"/>
        </w:r>
        <w:r w:rsidR="00D23C5F">
          <w:rPr>
            <w:noProof/>
            <w:webHidden/>
          </w:rPr>
          <w:t>10</w:t>
        </w:r>
        <w:r w:rsidR="00D23C5F">
          <w:rPr>
            <w:noProof/>
            <w:webHidden/>
          </w:rPr>
          <w:fldChar w:fldCharType="end"/>
        </w:r>
      </w:hyperlink>
    </w:p>
    <w:p w14:paraId="79ED2AC0" w14:textId="6B766BC2" w:rsidR="00D23C5F" w:rsidRDefault="00B32DE0">
      <w:pPr>
        <w:pStyle w:val="TOC2"/>
        <w:rPr>
          <w:rFonts w:asciiTheme="minorHAnsi" w:eastAsiaTheme="minorEastAsia" w:hAnsiTheme="minorHAnsi" w:cstheme="minorBidi"/>
          <w:iCs w:val="0"/>
          <w:noProof/>
          <w:sz w:val="22"/>
          <w:szCs w:val="22"/>
        </w:rPr>
      </w:pPr>
      <w:hyperlink w:anchor="_Toc86419520" w:history="1">
        <w:r w:rsidR="00D23C5F" w:rsidRPr="00A67384">
          <w:rPr>
            <w:rStyle w:val="Hyperlink"/>
            <w:noProof/>
            <w:lang w:eastAsia="zh-CN"/>
          </w:rPr>
          <w:t>C.</w:t>
        </w:r>
        <w:r w:rsidR="00D23C5F">
          <w:rPr>
            <w:rFonts w:asciiTheme="minorHAnsi" w:eastAsiaTheme="minorEastAsia" w:hAnsiTheme="minorHAnsi" w:cstheme="minorBidi"/>
            <w:iCs w:val="0"/>
            <w:noProof/>
            <w:sz w:val="22"/>
            <w:szCs w:val="22"/>
          </w:rPr>
          <w:tab/>
        </w:r>
        <w:r w:rsidR="00D23C5F" w:rsidRPr="00A67384">
          <w:rPr>
            <w:rStyle w:val="Hyperlink"/>
            <w:noProof/>
            <w:lang w:eastAsia="zh-CN"/>
          </w:rPr>
          <w:t>Conclusions</w:t>
        </w:r>
        <w:r w:rsidR="00D23C5F">
          <w:rPr>
            <w:noProof/>
            <w:webHidden/>
          </w:rPr>
          <w:tab/>
        </w:r>
        <w:r w:rsidR="00D23C5F">
          <w:rPr>
            <w:noProof/>
            <w:webHidden/>
          </w:rPr>
          <w:fldChar w:fldCharType="begin"/>
        </w:r>
        <w:r w:rsidR="00D23C5F">
          <w:rPr>
            <w:noProof/>
            <w:webHidden/>
          </w:rPr>
          <w:instrText xml:space="preserve"> PAGEREF _Toc86419520 \h </w:instrText>
        </w:r>
        <w:r w:rsidR="00D23C5F">
          <w:rPr>
            <w:noProof/>
            <w:webHidden/>
          </w:rPr>
        </w:r>
        <w:r w:rsidR="00D23C5F">
          <w:rPr>
            <w:noProof/>
            <w:webHidden/>
          </w:rPr>
          <w:fldChar w:fldCharType="separate"/>
        </w:r>
        <w:r w:rsidR="00D23C5F">
          <w:rPr>
            <w:noProof/>
            <w:webHidden/>
          </w:rPr>
          <w:t>15</w:t>
        </w:r>
        <w:r w:rsidR="00D23C5F">
          <w:rPr>
            <w:noProof/>
            <w:webHidden/>
          </w:rPr>
          <w:fldChar w:fldCharType="end"/>
        </w:r>
      </w:hyperlink>
    </w:p>
    <w:p w14:paraId="1A8E06FB" w14:textId="35C90F60" w:rsidR="00D23C5F" w:rsidRDefault="00B32DE0">
      <w:pPr>
        <w:pStyle w:val="TOC1"/>
        <w:rPr>
          <w:rFonts w:asciiTheme="minorHAnsi" w:eastAsiaTheme="minorEastAsia" w:hAnsiTheme="minorHAnsi" w:cstheme="minorBidi"/>
          <w:b w:val="0"/>
          <w:bCs w:val="0"/>
          <w:noProof/>
          <w:sz w:val="22"/>
          <w:szCs w:val="22"/>
        </w:rPr>
      </w:pPr>
      <w:hyperlink w:anchor="_Toc86419521" w:history="1">
        <w:r w:rsidR="00D23C5F" w:rsidRPr="00A67384">
          <w:rPr>
            <w:rStyle w:val="Hyperlink"/>
            <w:noProof/>
          </w:rPr>
          <w:t>III.</w:t>
        </w:r>
        <w:r w:rsidR="00D23C5F">
          <w:rPr>
            <w:rFonts w:asciiTheme="minorHAnsi" w:eastAsiaTheme="minorEastAsia" w:hAnsiTheme="minorHAnsi" w:cstheme="minorBidi"/>
            <w:b w:val="0"/>
            <w:bCs w:val="0"/>
            <w:noProof/>
            <w:sz w:val="22"/>
            <w:szCs w:val="22"/>
          </w:rPr>
          <w:tab/>
        </w:r>
        <w:r w:rsidR="00D23C5F" w:rsidRPr="00A67384">
          <w:rPr>
            <w:rStyle w:val="Hyperlink"/>
            <w:noProof/>
          </w:rPr>
          <w:t>Study Methodology</w:t>
        </w:r>
        <w:r w:rsidR="00D23C5F">
          <w:rPr>
            <w:noProof/>
            <w:webHidden/>
          </w:rPr>
          <w:tab/>
        </w:r>
        <w:r w:rsidR="00D23C5F">
          <w:rPr>
            <w:noProof/>
            <w:webHidden/>
          </w:rPr>
          <w:fldChar w:fldCharType="begin"/>
        </w:r>
        <w:r w:rsidR="00D23C5F">
          <w:rPr>
            <w:noProof/>
            <w:webHidden/>
          </w:rPr>
          <w:instrText xml:space="preserve"> PAGEREF _Toc86419521 \h </w:instrText>
        </w:r>
        <w:r w:rsidR="00D23C5F">
          <w:rPr>
            <w:noProof/>
            <w:webHidden/>
          </w:rPr>
        </w:r>
        <w:r w:rsidR="00D23C5F">
          <w:rPr>
            <w:noProof/>
            <w:webHidden/>
          </w:rPr>
          <w:fldChar w:fldCharType="separate"/>
        </w:r>
        <w:r w:rsidR="00D23C5F">
          <w:rPr>
            <w:noProof/>
            <w:webHidden/>
          </w:rPr>
          <w:t>17</w:t>
        </w:r>
        <w:r w:rsidR="00D23C5F">
          <w:rPr>
            <w:noProof/>
            <w:webHidden/>
          </w:rPr>
          <w:fldChar w:fldCharType="end"/>
        </w:r>
      </w:hyperlink>
    </w:p>
    <w:p w14:paraId="55AE8F24" w14:textId="258A806C" w:rsidR="00D23C5F" w:rsidRDefault="00B32DE0">
      <w:pPr>
        <w:pStyle w:val="TOC2"/>
        <w:rPr>
          <w:rFonts w:asciiTheme="minorHAnsi" w:eastAsiaTheme="minorEastAsia" w:hAnsiTheme="minorHAnsi" w:cstheme="minorBidi"/>
          <w:iCs w:val="0"/>
          <w:noProof/>
          <w:sz w:val="22"/>
          <w:szCs w:val="22"/>
        </w:rPr>
      </w:pPr>
      <w:hyperlink w:anchor="_Toc86419522" w:history="1">
        <w:r w:rsidR="00D23C5F" w:rsidRPr="00A67384">
          <w:rPr>
            <w:rStyle w:val="Hyperlink"/>
            <w:noProof/>
          </w:rPr>
          <w:t>A.</w:t>
        </w:r>
        <w:r w:rsidR="00D23C5F">
          <w:rPr>
            <w:rFonts w:asciiTheme="minorHAnsi" w:eastAsiaTheme="minorEastAsia" w:hAnsiTheme="minorHAnsi" w:cstheme="minorBidi"/>
            <w:iCs w:val="0"/>
            <w:noProof/>
            <w:sz w:val="22"/>
            <w:szCs w:val="22"/>
          </w:rPr>
          <w:tab/>
        </w:r>
        <w:r w:rsidR="00D23C5F" w:rsidRPr="00A67384">
          <w:rPr>
            <w:rStyle w:val="Hyperlink"/>
            <w:noProof/>
          </w:rPr>
          <w:t>WACC under the Status Quo MOPR</w:t>
        </w:r>
        <w:r w:rsidR="00D23C5F">
          <w:rPr>
            <w:noProof/>
            <w:webHidden/>
          </w:rPr>
          <w:tab/>
        </w:r>
        <w:r w:rsidR="00D23C5F">
          <w:rPr>
            <w:noProof/>
            <w:webHidden/>
          </w:rPr>
          <w:fldChar w:fldCharType="begin"/>
        </w:r>
        <w:r w:rsidR="00D23C5F">
          <w:rPr>
            <w:noProof/>
            <w:webHidden/>
          </w:rPr>
          <w:instrText xml:space="preserve"> PAGEREF _Toc86419522 \h </w:instrText>
        </w:r>
        <w:r w:rsidR="00D23C5F">
          <w:rPr>
            <w:noProof/>
            <w:webHidden/>
          </w:rPr>
        </w:r>
        <w:r w:rsidR="00D23C5F">
          <w:rPr>
            <w:noProof/>
            <w:webHidden/>
          </w:rPr>
          <w:fldChar w:fldCharType="separate"/>
        </w:r>
        <w:r w:rsidR="00D23C5F">
          <w:rPr>
            <w:noProof/>
            <w:webHidden/>
          </w:rPr>
          <w:t>17</w:t>
        </w:r>
        <w:r w:rsidR="00D23C5F">
          <w:rPr>
            <w:noProof/>
            <w:webHidden/>
          </w:rPr>
          <w:fldChar w:fldCharType="end"/>
        </w:r>
      </w:hyperlink>
    </w:p>
    <w:p w14:paraId="24B64E9E" w14:textId="0DFB6592" w:rsidR="00D23C5F" w:rsidRDefault="00B32DE0">
      <w:pPr>
        <w:pStyle w:val="TOC2"/>
        <w:rPr>
          <w:rFonts w:asciiTheme="minorHAnsi" w:eastAsiaTheme="minorEastAsia" w:hAnsiTheme="minorHAnsi" w:cstheme="minorBidi"/>
          <w:iCs w:val="0"/>
          <w:noProof/>
          <w:sz w:val="22"/>
          <w:szCs w:val="22"/>
        </w:rPr>
      </w:pPr>
      <w:hyperlink w:anchor="_Toc86419523" w:history="1">
        <w:r w:rsidR="00D23C5F" w:rsidRPr="00A67384">
          <w:rPr>
            <w:rStyle w:val="Hyperlink"/>
            <w:noProof/>
          </w:rPr>
          <w:t>B.</w:t>
        </w:r>
        <w:r w:rsidR="00D23C5F">
          <w:rPr>
            <w:rFonts w:asciiTheme="minorHAnsi" w:eastAsiaTheme="minorEastAsia" w:hAnsiTheme="minorHAnsi" w:cstheme="minorBidi"/>
            <w:iCs w:val="0"/>
            <w:noProof/>
            <w:sz w:val="22"/>
            <w:szCs w:val="22"/>
          </w:rPr>
          <w:tab/>
        </w:r>
        <w:r w:rsidR="00D23C5F" w:rsidRPr="00A67384">
          <w:rPr>
            <w:rStyle w:val="Hyperlink"/>
            <w:noProof/>
          </w:rPr>
          <w:t>Estimated Impact of MOPR Elimination on the WACC</w:t>
        </w:r>
        <w:r w:rsidR="00D23C5F">
          <w:rPr>
            <w:noProof/>
            <w:webHidden/>
          </w:rPr>
          <w:tab/>
        </w:r>
        <w:r w:rsidR="00D23C5F">
          <w:rPr>
            <w:noProof/>
            <w:webHidden/>
          </w:rPr>
          <w:fldChar w:fldCharType="begin"/>
        </w:r>
        <w:r w:rsidR="00D23C5F">
          <w:rPr>
            <w:noProof/>
            <w:webHidden/>
          </w:rPr>
          <w:instrText xml:space="preserve"> PAGEREF _Toc86419523 \h </w:instrText>
        </w:r>
        <w:r w:rsidR="00D23C5F">
          <w:rPr>
            <w:noProof/>
            <w:webHidden/>
          </w:rPr>
        </w:r>
        <w:r w:rsidR="00D23C5F">
          <w:rPr>
            <w:noProof/>
            <w:webHidden/>
          </w:rPr>
          <w:fldChar w:fldCharType="separate"/>
        </w:r>
        <w:r w:rsidR="00D23C5F">
          <w:rPr>
            <w:noProof/>
            <w:webHidden/>
          </w:rPr>
          <w:t>18</w:t>
        </w:r>
        <w:r w:rsidR="00D23C5F">
          <w:rPr>
            <w:noProof/>
            <w:webHidden/>
          </w:rPr>
          <w:fldChar w:fldCharType="end"/>
        </w:r>
      </w:hyperlink>
    </w:p>
    <w:p w14:paraId="00F2C484" w14:textId="3DC4DBAD" w:rsidR="00D23C5F" w:rsidRDefault="00B32DE0">
      <w:pPr>
        <w:pStyle w:val="TOC2"/>
        <w:rPr>
          <w:rFonts w:asciiTheme="minorHAnsi" w:eastAsiaTheme="minorEastAsia" w:hAnsiTheme="minorHAnsi" w:cstheme="minorBidi"/>
          <w:iCs w:val="0"/>
          <w:noProof/>
          <w:sz w:val="22"/>
          <w:szCs w:val="22"/>
        </w:rPr>
      </w:pPr>
      <w:hyperlink w:anchor="_Toc86419524" w:history="1">
        <w:r w:rsidR="00D23C5F" w:rsidRPr="00A67384">
          <w:rPr>
            <w:rStyle w:val="Hyperlink"/>
            <w:noProof/>
            <w:lang w:eastAsia="zh-CN"/>
          </w:rPr>
          <w:t>C.</w:t>
        </w:r>
        <w:r w:rsidR="00D23C5F">
          <w:rPr>
            <w:rFonts w:asciiTheme="minorHAnsi" w:eastAsiaTheme="minorEastAsia" w:hAnsiTheme="minorHAnsi" w:cstheme="minorBidi"/>
            <w:iCs w:val="0"/>
            <w:noProof/>
            <w:sz w:val="22"/>
            <w:szCs w:val="22"/>
          </w:rPr>
          <w:tab/>
        </w:r>
        <w:r w:rsidR="00D23C5F" w:rsidRPr="00A67384">
          <w:rPr>
            <w:rStyle w:val="Hyperlink"/>
            <w:noProof/>
          </w:rPr>
          <w:t>Conclusion</w:t>
        </w:r>
        <w:r w:rsidR="00D23C5F">
          <w:rPr>
            <w:noProof/>
            <w:webHidden/>
          </w:rPr>
          <w:tab/>
        </w:r>
        <w:r w:rsidR="00D23C5F">
          <w:rPr>
            <w:noProof/>
            <w:webHidden/>
          </w:rPr>
          <w:fldChar w:fldCharType="begin"/>
        </w:r>
        <w:r w:rsidR="00D23C5F">
          <w:rPr>
            <w:noProof/>
            <w:webHidden/>
          </w:rPr>
          <w:instrText xml:space="preserve"> PAGEREF _Toc86419524 \h </w:instrText>
        </w:r>
        <w:r w:rsidR="00D23C5F">
          <w:rPr>
            <w:noProof/>
            <w:webHidden/>
          </w:rPr>
        </w:r>
        <w:r w:rsidR="00D23C5F">
          <w:rPr>
            <w:noProof/>
            <w:webHidden/>
          </w:rPr>
          <w:fldChar w:fldCharType="separate"/>
        </w:r>
        <w:r w:rsidR="00D23C5F">
          <w:rPr>
            <w:noProof/>
            <w:webHidden/>
          </w:rPr>
          <w:t>29</w:t>
        </w:r>
        <w:r w:rsidR="00D23C5F">
          <w:rPr>
            <w:noProof/>
            <w:webHidden/>
          </w:rPr>
          <w:fldChar w:fldCharType="end"/>
        </w:r>
      </w:hyperlink>
    </w:p>
    <w:p w14:paraId="7C69A982" w14:textId="10BC682D" w:rsidR="00D23C5F" w:rsidRDefault="00B32DE0">
      <w:pPr>
        <w:pStyle w:val="TOC1"/>
        <w:rPr>
          <w:rFonts w:asciiTheme="minorHAnsi" w:eastAsiaTheme="minorEastAsia" w:hAnsiTheme="minorHAnsi" w:cstheme="minorBidi"/>
          <w:b w:val="0"/>
          <w:bCs w:val="0"/>
          <w:noProof/>
          <w:sz w:val="22"/>
          <w:szCs w:val="22"/>
        </w:rPr>
      </w:pPr>
      <w:hyperlink w:anchor="_Toc86419525" w:history="1">
        <w:r w:rsidR="00D23C5F" w:rsidRPr="00A67384">
          <w:rPr>
            <w:rStyle w:val="Hyperlink"/>
            <w:noProof/>
          </w:rPr>
          <w:t>IV.</w:t>
        </w:r>
        <w:r w:rsidR="00D23C5F">
          <w:rPr>
            <w:rFonts w:asciiTheme="minorHAnsi" w:eastAsiaTheme="minorEastAsia" w:hAnsiTheme="minorHAnsi" w:cstheme="minorBidi"/>
            <w:b w:val="0"/>
            <w:bCs w:val="0"/>
            <w:noProof/>
            <w:sz w:val="22"/>
            <w:szCs w:val="22"/>
          </w:rPr>
          <w:tab/>
        </w:r>
        <w:r w:rsidR="00D23C5F" w:rsidRPr="00A67384">
          <w:rPr>
            <w:rStyle w:val="Hyperlink"/>
            <w:noProof/>
          </w:rPr>
          <w:t>Model Inputs</w:t>
        </w:r>
        <w:r w:rsidR="00D23C5F">
          <w:rPr>
            <w:noProof/>
            <w:webHidden/>
          </w:rPr>
          <w:tab/>
        </w:r>
        <w:r w:rsidR="00D23C5F">
          <w:rPr>
            <w:noProof/>
            <w:webHidden/>
          </w:rPr>
          <w:fldChar w:fldCharType="begin"/>
        </w:r>
        <w:r w:rsidR="00D23C5F">
          <w:rPr>
            <w:noProof/>
            <w:webHidden/>
          </w:rPr>
          <w:instrText xml:space="preserve"> PAGEREF _Toc86419525 \h </w:instrText>
        </w:r>
        <w:r w:rsidR="00D23C5F">
          <w:rPr>
            <w:noProof/>
            <w:webHidden/>
          </w:rPr>
        </w:r>
        <w:r w:rsidR="00D23C5F">
          <w:rPr>
            <w:noProof/>
            <w:webHidden/>
          </w:rPr>
          <w:fldChar w:fldCharType="separate"/>
        </w:r>
        <w:r w:rsidR="00D23C5F">
          <w:rPr>
            <w:noProof/>
            <w:webHidden/>
          </w:rPr>
          <w:t>31</w:t>
        </w:r>
        <w:r w:rsidR="00D23C5F">
          <w:rPr>
            <w:noProof/>
            <w:webHidden/>
          </w:rPr>
          <w:fldChar w:fldCharType="end"/>
        </w:r>
      </w:hyperlink>
    </w:p>
    <w:p w14:paraId="7C98CAD9" w14:textId="59A8EB92" w:rsidR="00D23C5F" w:rsidRDefault="00B32DE0">
      <w:pPr>
        <w:pStyle w:val="TOC2"/>
        <w:rPr>
          <w:rFonts w:asciiTheme="minorHAnsi" w:eastAsiaTheme="minorEastAsia" w:hAnsiTheme="minorHAnsi" w:cstheme="minorBidi"/>
          <w:iCs w:val="0"/>
          <w:noProof/>
          <w:sz w:val="22"/>
          <w:szCs w:val="22"/>
        </w:rPr>
      </w:pPr>
      <w:hyperlink w:anchor="_Toc86419526" w:history="1">
        <w:r w:rsidR="00D23C5F" w:rsidRPr="00A67384">
          <w:rPr>
            <w:rStyle w:val="Hyperlink"/>
            <w:noProof/>
          </w:rPr>
          <w:t>A.</w:t>
        </w:r>
        <w:r w:rsidR="00D23C5F">
          <w:rPr>
            <w:rFonts w:asciiTheme="minorHAnsi" w:eastAsiaTheme="minorEastAsia" w:hAnsiTheme="minorHAnsi" w:cstheme="minorBidi"/>
            <w:iCs w:val="0"/>
            <w:noProof/>
            <w:sz w:val="22"/>
            <w:szCs w:val="22"/>
          </w:rPr>
          <w:tab/>
        </w:r>
        <w:r w:rsidR="00D23C5F" w:rsidRPr="00A67384">
          <w:rPr>
            <w:rStyle w:val="Hyperlink"/>
            <w:noProof/>
          </w:rPr>
          <w:t>Principles for Determining Model Inputs</w:t>
        </w:r>
        <w:r w:rsidR="00D23C5F">
          <w:rPr>
            <w:noProof/>
            <w:webHidden/>
          </w:rPr>
          <w:tab/>
        </w:r>
        <w:r w:rsidR="00D23C5F">
          <w:rPr>
            <w:noProof/>
            <w:webHidden/>
          </w:rPr>
          <w:fldChar w:fldCharType="begin"/>
        </w:r>
        <w:r w:rsidR="00D23C5F">
          <w:rPr>
            <w:noProof/>
            <w:webHidden/>
          </w:rPr>
          <w:instrText xml:space="preserve"> PAGEREF _Toc86419526 \h </w:instrText>
        </w:r>
        <w:r w:rsidR="00D23C5F">
          <w:rPr>
            <w:noProof/>
            <w:webHidden/>
          </w:rPr>
        </w:r>
        <w:r w:rsidR="00D23C5F">
          <w:rPr>
            <w:noProof/>
            <w:webHidden/>
          </w:rPr>
          <w:fldChar w:fldCharType="separate"/>
        </w:r>
        <w:r w:rsidR="00D23C5F">
          <w:rPr>
            <w:noProof/>
            <w:webHidden/>
          </w:rPr>
          <w:t>31</w:t>
        </w:r>
        <w:r w:rsidR="00D23C5F">
          <w:rPr>
            <w:noProof/>
            <w:webHidden/>
          </w:rPr>
          <w:fldChar w:fldCharType="end"/>
        </w:r>
      </w:hyperlink>
    </w:p>
    <w:p w14:paraId="0CAADE7F" w14:textId="5E940F10" w:rsidR="00D23C5F" w:rsidRDefault="00B32DE0">
      <w:pPr>
        <w:pStyle w:val="TOC2"/>
        <w:rPr>
          <w:rFonts w:asciiTheme="minorHAnsi" w:eastAsiaTheme="minorEastAsia" w:hAnsiTheme="minorHAnsi" w:cstheme="minorBidi"/>
          <w:iCs w:val="0"/>
          <w:noProof/>
          <w:sz w:val="22"/>
          <w:szCs w:val="22"/>
        </w:rPr>
      </w:pPr>
      <w:hyperlink w:anchor="_Toc86419527" w:history="1">
        <w:r w:rsidR="00D23C5F" w:rsidRPr="00A67384">
          <w:rPr>
            <w:rStyle w:val="Hyperlink"/>
            <w:noProof/>
          </w:rPr>
          <w:t>B.</w:t>
        </w:r>
        <w:r w:rsidR="00D23C5F">
          <w:rPr>
            <w:rFonts w:asciiTheme="minorHAnsi" w:eastAsiaTheme="minorEastAsia" w:hAnsiTheme="minorHAnsi" w:cstheme="minorBidi"/>
            <w:iCs w:val="0"/>
            <w:noProof/>
            <w:sz w:val="22"/>
            <w:szCs w:val="22"/>
          </w:rPr>
          <w:tab/>
        </w:r>
        <w:r w:rsidR="00D23C5F" w:rsidRPr="00A67384">
          <w:rPr>
            <w:rStyle w:val="Hyperlink"/>
            <w:noProof/>
          </w:rPr>
          <w:t>Model Inputs</w:t>
        </w:r>
        <w:r w:rsidR="00D23C5F">
          <w:rPr>
            <w:noProof/>
            <w:webHidden/>
          </w:rPr>
          <w:tab/>
        </w:r>
        <w:r w:rsidR="00D23C5F">
          <w:rPr>
            <w:noProof/>
            <w:webHidden/>
          </w:rPr>
          <w:fldChar w:fldCharType="begin"/>
        </w:r>
        <w:r w:rsidR="00D23C5F">
          <w:rPr>
            <w:noProof/>
            <w:webHidden/>
          </w:rPr>
          <w:instrText xml:space="preserve"> PAGEREF _Toc86419527 \h </w:instrText>
        </w:r>
        <w:r w:rsidR="00D23C5F">
          <w:rPr>
            <w:noProof/>
            <w:webHidden/>
          </w:rPr>
        </w:r>
        <w:r w:rsidR="00D23C5F">
          <w:rPr>
            <w:noProof/>
            <w:webHidden/>
          </w:rPr>
          <w:fldChar w:fldCharType="separate"/>
        </w:r>
        <w:r w:rsidR="00D23C5F">
          <w:rPr>
            <w:noProof/>
            <w:webHidden/>
          </w:rPr>
          <w:t>31</w:t>
        </w:r>
        <w:r w:rsidR="00D23C5F">
          <w:rPr>
            <w:noProof/>
            <w:webHidden/>
          </w:rPr>
          <w:fldChar w:fldCharType="end"/>
        </w:r>
      </w:hyperlink>
    </w:p>
    <w:p w14:paraId="122664C3" w14:textId="7D355710" w:rsidR="00D23C5F" w:rsidRDefault="00B32DE0">
      <w:pPr>
        <w:pStyle w:val="TOC1"/>
        <w:rPr>
          <w:rFonts w:asciiTheme="minorHAnsi" w:eastAsiaTheme="minorEastAsia" w:hAnsiTheme="minorHAnsi" w:cstheme="minorBidi"/>
          <w:b w:val="0"/>
          <w:bCs w:val="0"/>
          <w:noProof/>
          <w:sz w:val="22"/>
          <w:szCs w:val="22"/>
        </w:rPr>
      </w:pPr>
      <w:hyperlink w:anchor="_Toc86419528" w:history="1">
        <w:r w:rsidR="00D23C5F" w:rsidRPr="00A67384">
          <w:rPr>
            <w:rStyle w:val="Hyperlink"/>
            <w:noProof/>
          </w:rPr>
          <w:t>V.</w:t>
        </w:r>
        <w:r w:rsidR="00D23C5F">
          <w:rPr>
            <w:rFonts w:asciiTheme="minorHAnsi" w:eastAsiaTheme="minorEastAsia" w:hAnsiTheme="minorHAnsi" w:cstheme="minorBidi"/>
            <w:b w:val="0"/>
            <w:bCs w:val="0"/>
            <w:noProof/>
            <w:sz w:val="22"/>
            <w:szCs w:val="22"/>
          </w:rPr>
          <w:tab/>
        </w:r>
        <w:r w:rsidR="00D23C5F" w:rsidRPr="00A67384">
          <w:rPr>
            <w:rStyle w:val="Hyperlink"/>
            <w:noProof/>
          </w:rPr>
          <w:t>Results and Conclusions</w:t>
        </w:r>
        <w:r w:rsidR="00D23C5F">
          <w:rPr>
            <w:noProof/>
            <w:webHidden/>
          </w:rPr>
          <w:tab/>
        </w:r>
        <w:r w:rsidR="00D23C5F">
          <w:rPr>
            <w:noProof/>
            <w:webHidden/>
          </w:rPr>
          <w:fldChar w:fldCharType="begin"/>
        </w:r>
        <w:r w:rsidR="00D23C5F">
          <w:rPr>
            <w:noProof/>
            <w:webHidden/>
          </w:rPr>
          <w:instrText xml:space="preserve"> PAGEREF _Toc86419528 \h </w:instrText>
        </w:r>
        <w:r w:rsidR="00D23C5F">
          <w:rPr>
            <w:noProof/>
            <w:webHidden/>
          </w:rPr>
        </w:r>
        <w:r w:rsidR="00D23C5F">
          <w:rPr>
            <w:noProof/>
            <w:webHidden/>
          </w:rPr>
          <w:fldChar w:fldCharType="separate"/>
        </w:r>
        <w:r w:rsidR="00D23C5F">
          <w:rPr>
            <w:noProof/>
            <w:webHidden/>
          </w:rPr>
          <w:t>43</w:t>
        </w:r>
        <w:r w:rsidR="00D23C5F">
          <w:rPr>
            <w:noProof/>
            <w:webHidden/>
          </w:rPr>
          <w:fldChar w:fldCharType="end"/>
        </w:r>
      </w:hyperlink>
    </w:p>
    <w:p w14:paraId="65F45046" w14:textId="57D69F66" w:rsidR="00D23C5F" w:rsidRDefault="00B32DE0">
      <w:pPr>
        <w:pStyle w:val="TOC2"/>
        <w:rPr>
          <w:rFonts w:asciiTheme="minorHAnsi" w:eastAsiaTheme="minorEastAsia" w:hAnsiTheme="minorHAnsi" w:cstheme="minorBidi"/>
          <w:iCs w:val="0"/>
          <w:noProof/>
          <w:sz w:val="22"/>
          <w:szCs w:val="22"/>
        </w:rPr>
      </w:pPr>
      <w:hyperlink w:anchor="_Toc86419529" w:history="1">
        <w:r w:rsidR="00D23C5F" w:rsidRPr="00A67384">
          <w:rPr>
            <w:rStyle w:val="Hyperlink"/>
            <w:noProof/>
            <w:lang w:eastAsia="zh-CN"/>
          </w:rPr>
          <w:t>A.</w:t>
        </w:r>
        <w:r w:rsidR="00D23C5F">
          <w:rPr>
            <w:rFonts w:asciiTheme="minorHAnsi" w:eastAsiaTheme="minorEastAsia" w:hAnsiTheme="minorHAnsi" w:cstheme="minorBidi"/>
            <w:iCs w:val="0"/>
            <w:noProof/>
            <w:sz w:val="22"/>
            <w:szCs w:val="22"/>
          </w:rPr>
          <w:tab/>
        </w:r>
        <w:r w:rsidR="00D23C5F" w:rsidRPr="00A67384">
          <w:rPr>
            <w:rStyle w:val="Hyperlink"/>
            <w:noProof/>
            <w:lang w:eastAsia="zh-CN"/>
          </w:rPr>
          <w:t>Results</w:t>
        </w:r>
        <w:r w:rsidR="00D23C5F">
          <w:rPr>
            <w:noProof/>
            <w:webHidden/>
          </w:rPr>
          <w:tab/>
        </w:r>
        <w:r w:rsidR="00D23C5F">
          <w:rPr>
            <w:noProof/>
            <w:webHidden/>
          </w:rPr>
          <w:fldChar w:fldCharType="begin"/>
        </w:r>
        <w:r w:rsidR="00D23C5F">
          <w:rPr>
            <w:noProof/>
            <w:webHidden/>
          </w:rPr>
          <w:instrText xml:space="preserve"> PAGEREF _Toc86419529 \h </w:instrText>
        </w:r>
        <w:r w:rsidR="00D23C5F">
          <w:rPr>
            <w:noProof/>
            <w:webHidden/>
          </w:rPr>
        </w:r>
        <w:r w:rsidR="00D23C5F">
          <w:rPr>
            <w:noProof/>
            <w:webHidden/>
          </w:rPr>
          <w:fldChar w:fldCharType="separate"/>
        </w:r>
        <w:r w:rsidR="00D23C5F">
          <w:rPr>
            <w:noProof/>
            <w:webHidden/>
          </w:rPr>
          <w:t>43</w:t>
        </w:r>
        <w:r w:rsidR="00D23C5F">
          <w:rPr>
            <w:noProof/>
            <w:webHidden/>
          </w:rPr>
          <w:fldChar w:fldCharType="end"/>
        </w:r>
      </w:hyperlink>
    </w:p>
    <w:p w14:paraId="68B8798D" w14:textId="31357AB9" w:rsidR="00D23C5F" w:rsidRDefault="00B32DE0">
      <w:pPr>
        <w:pStyle w:val="TOC2"/>
        <w:rPr>
          <w:rFonts w:asciiTheme="minorHAnsi" w:eastAsiaTheme="minorEastAsia" w:hAnsiTheme="minorHAnsi" w:cstheme="minorBidi"/>
          <w:iCs w:val="0"/>
          <w:noProof/>
          <w:sz w:val="22"/>
          <w:szCs w:val="22"/>
        </w:rPr>
      </w:pPr>
      <w:hyperlink w:anchor="_Toc86419530" w:history="1">
        <w:r w:rsidR="00D23C5F" w:rsidRPr="00A67384">
          <w:rPr>
            <w:rStyle w:val="Hyperlink"/>
            <w:noProof/>
            <w:lang w:eastAsia="zh-CN"/>
          </w:rPr>
          <w:t>B.</w:t>
        </w:r>
        <w:r w:rsidR="00D23C5F">
          <w:rPr>
            <w:rFonts w:asciiTheme="minorHAnsi" w:eastAsiaTheme="minorEastAsia" w:hAnsiTheme="minorHAnsi" w:cstheme="minorBidi"/>
            <w:iCs w:val="0"/>
            <w:noProof/>
            <w:sz w:val="22"/>
            <w:szCs w:val="22"/>
          </w:rPr>
          <w:tab/>
        </w:r>
        <w:r w:rsidR="00D23C5F" w:rsidRPr="00A67384">
          <w:rPr>
            <w:rStyle w:val="Hyperlink"/>
            <w:noProof/>
            <w:lang w:eastAsia="zh-CN"/>
          </w:rPr>
          <w:t>Conclusions</w:t>
        </w:r>
        <w:r w:rsidR="00D23C5F">
          <w:rPr>
            <w:noProof/>
            <w:webHidden/>
          </w:rPr>
          <w:tab/>
        </w:r>
        <w:r w:rsidR="00D23C5F">
          <w:rPr>
            <w:noProof/>
            <w:webHidden/>
          </w:rPr>
          <w:fldChar w:fldCharType="begin"/>
        </w:r>
        <w:r w:rsidR="00D23C5F">
          <w:rPr>
            <w:noProof/>
            <w:webHidden/>
          </w:rPr>
          <w:instrText xml:space="preserve"> PAGEREF _Toc86419530 \h </w:instrText>
        </w:r>
        <w:r w:rsidR="00D23C5F">
          <w:rPr>
            <w:noProof/>
            <w:webHidden/>
          </w:rPr>
        </w:r>
        <w:r w:rsidR="00D23C5F">
          <w:rPr>
            <w:noProof/>
            <w:webHidden/>
          </w:rPr>
          <w:fldChar w:fldCharType="separate"/>
        </w:r>
        <w:r w:rsidR="00D23C5F">
          <w:rPr>
            <w:noProof/>
            <w:webHidden/>
          </w:rPr>
          <w:t>50</w:t>
        </w:r>
        <w:r w:rsidR="00D23C5F">
          <w:rPr>
            <w:noProof/>
            <w:webHidden/>
          </w:rPr>
          <w:fldChar w:fldCharType="end"/>
        </w:r>
      </w:hyperlink>
    </w:p>
    <w:p w14:paraId="72D8A40F" w14:textId="4842D094" w:rsidR="003B0BED" w:rsidRDefault="007D2977" w:rsidP="00795531">
      <w:pPr>
        <w:pStyle w:val="TOC1"/>
      </w:pPr>
      <w:r>
        <w:fldChar w:fldCharType="end"/>
      </w:r>
    </w:p>
    <w:p w14:paraId="49E3C34D" w14:textId="55BD7CE5" w:rsidR="00962FB5" w:rsidRDefault="00962FB5" w:rsidP="00962FB5">
      <w:pPr>
        <w:spacing w:after="200" w:line="276" w:lineRule="auto"/>
        <w:jc w:val="center"/>
        <w:rPr>
          <w:rFonts w:ascii="Times New Roman Bold" w:eastAsiaTheme="majorEastAsia" w:hAnsi="Times New Roman Bold" w:cstheme="majorBidi" w:hint="eastAsia"/>
          <w:b/>
          <w:bCs/>
          <w:smallCaps/>
          <w:color w:val="214DAF"/>
          <w:sz w:val="28"/>
          <w:szCs w:val="28"/>
        </w:rPr>
      </w:pPr>
    </w:p>
    <w:p w14:paraId="6099E109" w14:textId="77777777" w:rsidR="00AA002E" w:rsidRDefault="00AA002E" w:rsidP="00962FB5">
      <w:pPr>
        <w:spacing w:after="200" w:line="276" w:lineRule="auto"/>
        <w:jc w:val="center"/>
        <w:rPr>
          <w:rFonts w:ascii="Times New Roman Bold" w:eastAsiaTheme="majorEastAsia" w:hAnsi="Times New Roman Bold" w:cstheme="majorBidi" w:hint="eastAsia"/>
          <w:b/>
          <w:bCs/>
          <w:smallCaps/>
          <w:color w:val="214DAF"/>
          <w:sz w:val="28"/>
          <w:szCs w:val="28"/>
        </w:rPr>
      </w:pPr>
    </w:p>
    <w:p w14:paraId="1C08C8BA" w14:textId="77777777" w:rsidR="00393F0F" w:rsidRDefault="00393F0F" w:rsidP="00962FB5">
      <w:pPr>
        <w:spacing w:after="200" w:line="276" w:lineRule="auto"/>
        <w:jc w:val="center"/>
        <w:rPr>
          <w:rFonts w:ascii="Times New Roman Bold" w:eastAsiaTheme="majorEastAsia" w:hAnsi="Times New Roman Bold" w:cstheme="majorBidi" w:hint="eastAsia"/>
          <w:b/>
          <w:bCs/>
          <w:smallCaps/>
          <w:color w:val="214DAF"/>
          <w:sz w:val="28"/>
          <w:szCs w:val="28"/>
        </w:rPr>
      </w:pPr>
    </w:p>
    <w:p w14:paraId="28D7AD40" w14:textId="77777777" w:rsidR="00BE6ED9" w:rsidRDefault="00BE6ED9">
      <w:pPr>
        <w:spacing w:after="200" w:line="276" w:lineRule="auto"/>
        <w:rPr>
          <w:rFonts w:ascii="Times New Roman Bold" w:eastAsiaTheme="majorEastAsia" w:hAnsi="Times New Roman Bold" w:cstheme="majorBidi" w:hint="eastAsia"/>
          <w:b/>
          <w:bCs/>
          <w:smallCaps/>
          <w:color w:val="214DAF"/>
          <w:sz w:val="28"/>
          <w:szCs w:val="28"/>
        </w:rPr>
      </w:pPr>
      <w:r>
        <w:rPr>
          <w:rFonts w:ascii="Times New Roman Bold" w:eastAsiaTheme="majorEastAsia" w:hAnsi="Times New Roman Bold" w:cstheme="majorBidi" w:hint="eastAsia"/>
          <w:b/>
          <w:bCs/>
          <w:smallCaps/>
          <w:color w:val="214DAF"/>
          <w:sz w:val="28"/>
          <w:szCs w:val="28"/>
        </w:rPr>
        <w:br w:type="page"/>
      </w:r>
    </w:p>
    <w:p w14:paraId="0F072CDE" w14:textId="44FFEA98" w:rsidR="006103BB" w:rsidRDefault="006103BB" w:rsidP="00962FB5">
      <w:pPr>
        <w:spacing w:after="200" w:line="276" w:lineRule="auto"/>
        <w:jc w:val="center"/>
        <w:rPr>
          <w:rFonts w:ascii="Times New Roman Bold" w:eastAsiaTheme="majorEastAsia" w:hAnsi="Times New Roman Bold" w:cstheme="majorBidi" w:hint="eastAsia"/>
          <w:b/>
          <w:bCs/>
          <w:smallCaps/>
          <w:color w:val="214DAF"/>
          <w:sz w:val="28"/>
          <w:szCs w:val="28"/>
        </w:rPr>
      </w:pPr>
      <w:r w:rsidRPr="009F369E">
        <w:rPr>
          <w:rFonts w:ascii="Times New Roman Bold" w:eastAsiaTheme="majorEastAsia" w:hAnsi="Times New Roman Bold" w:cstheme="majorBidi"/>
          <w:b/>
          <w:bCs/>
          <w:smallCaps/>
          <w:color w:val="214DAF"/>
          <w:sz w:val="28"/>
          <w:szCs w:val="28"/>
        </w:rPr>
        <w:lastRenderedPageBreak/>
        <w:t>List of Figures</w:t>
      </w:r>
    </w:p>
    <w:p w14:paraId="1842A7DE" w14:textId="63EE50BC" w:rsidR="0031735B" w:rsidRDefault="006103BB">
      <w:pPr>
        <w:pStyle w:val="TableofFigures"/>
        <w:tabs>
          <w:tab w:val="right" w:leader="dot" w:pos="9350"/>
        </w:tabs>
        <w:rPr>
          <w:rFonts w:asciiTheme="minorHAnsi" w:eastAsiaTheme="minorEastAsia" w:hAnsiTheme="minorHAnsi" w:cstheme="minorBidi"/>
          <w:noProof/>
          <w:sz w:val="22"/>
          <w:szCs w:val="22"/>
        </w:rPr>
      </w:pPr>
      <w:r>
        <w:rPr>
          <w:szCs w:val="23"/>
        </w:rPr>
        <w:fldChar w:fldCharType="begin"/>
      </w:r>
      <w:r>
        <w:rPr>
          <w:szCs w:val="23"/>
        </w:rPr>
        <w:instrText xml:space="preserve"> TOC \h \z \c "Figure" </w:instrText>
      </w:r>
      <w:r>
        <w:rPr>
          <w:szCs w:val="23"/>
        </w:rPr>
        <w:fldChar w:fldCharType="separate"/>
      </w:r>
      <w:hyperlink w:anchor="_Toc86727530" w:history="1">
        <w:r w:rsidR="0031735B" w:rsidRPr="007B288B">
          <w:rPr>
            <w:rStyle w:val="Hyperlink"/>
            <w:rFonts w:eastAsiaTheme="majorEastAsia"/>
            <w:noProof/>
          </w:rPr>
          <w:t xml:space="preserve">Figure 1: </w:t>
        </w:r>
        <w:r w:rsidR="0031735B" w:rsidRPr="007B288B">
          <w:rPr>
            <w:rStyle w:val="Hyperlink"/>
            <w:rFonts w:eastAsiaTheme="majorEastAsia"/>
            <w:noProof/>
            <w:lang w:eastAsia="zh-CN"/>
          </w:rPr>
          <w:t>Capacity Price Formation</w:t>
        </w:r>
        <w:r w:rsidR="0031735B" w:rsidRPr="007B288B">
          <w:rPr>
            <w:rStyle w:val="Hyperlink"/>
            <w:rFonts w:eastAsiaTheme="minorHAnsi"/>
            <w:noProof/>
            <w:lang w:eastAsia="zh-CN"/>
          </w:rPr>
          <w:t xml:space="preserve"> in </w:t>
        </w:r>
        <w:r w:rsidR="0031735B" w:rsidRPr="007B288B">
          <w:rPr>
            <w:rStyle w:val="Hyperlink"/>
            <w:rFonts w:eastAsiaTheme="majorEastAsia"/>
            <w:noProof/>
            <w:lang w:eastAsia="zh-CN"/>
          </w:rPr>
          <w:t>a Competitive Market</w:t>
        </w:r>
        <w:r w:rsidR="0031735B">
          <w:rPr>
            <w:noProof/>
            <w:webHidden/>
          </w:rPr>
          <w:tab/>
        </w:r>
        <w:r w:rsidR="0031735B">
          <w:rPr>
            <w:noProof/>
            <w:webHidden/>
          </w:rPr>
          <w:fldChar w:fldCharType="begin"/>
        </w:r>
        <w:r w:rsidR="0031735B">
          <w:rPr>
            <w:noProof/>
            <w:webHidden/>
          </w:rPr>
          <w:instrText xml:space="preserve"> PAGEREF _Toc86727530 \h </w:instrText>
        </w:r>
        <w:r w:rsidR="0031735B">
          <w:rPr>
            <w:noProof/>
            <w:webHidden/>
          </w:rPr>
        </w:r>
        <w:r w:rsidR="0031735B">
          <w:rPr>
            <w:noProof/>
            <w:webHidden/>
          </w:rPr>
          <w:fldChar w:fldCharType="separate"/>
        </w:r>
        <w:r w:rsidR="0031735B">
          <w:rPr>
            <w:noProof/>
            <w:webHidden/>
          </w:rPr>
          <w:t>11</w:t>
        </w:r>
        <w:r w:rsidR="0031735B">
          <w:rPr>
            <w:noProof/>
            <w:webHidden/>
          </w:rPr>
          <w:fldChar w:fldCharType="end"/>
        </w:r>
      </w:hyperlink>
    </w:p>
    <w:p w14:paraId="502EA539" w14:textId="16960D92" w:rsidR="0031735B" w:rsidRDefault="00B32DE0">
      <w:pPr>
        <w:pStyle w:val="TableofFigures"/>
        <w:tabs>
          <w:tab w:val="right" w:leader="dot" w:pos="9350"/>
        </w:tabs>
        <w:rPr>
          <w:rFonts w:asciiTheme="minorHAnsi" w:eastAsiaTheme="minorEastAsia" w:hAnsiTheme="minorHAnsi" w:cstheme="minorBidi"/>
          <w:noProof/>
          <w:sz w:val="22"/>
          <w:szCs w:val="22"/>
        </w:rPr>
      </w:pPr>
      <w:hyperlink w:anchor="_Toc86727531" w:history="1">
        <w:r w:rsidR="0031735B" w:rsidRPr="007B288B">
          <w:rPr>
            <w:rStyle w:val="Hyperlink"/>
            <w:rFonts w:eastAsiaTheme="majorEastAsia"/>
            <w:noProof/>
          </w:rPr>
          <w:t xml:space="preserve">Figure 2: </w:t>
        </w:r>
        <w:r w:rsidR="0031735B" w:rsidRPr="007B288B">
          <w:rPr>
            <w:rStyle w:val="Hyperlink"/>
            <w:rFonts w:eastAsiaTheme="majorEastAsia"/>
            <w:noProof/>
            <w:lang w:eastAsia="zh-CN"/>
          </w:rPr>
          <w:t>Capacity Prices in a Market with Policy Intervention A</w:t>
        </w:r>
        <w:r w:rsidR="0031735B">
          <w:rPr>
            <w:noProof/>
            <w:webHidden/>
          </w:rPr>
          <w:tab/>
        </w:r>
        <w:r w:rsidR="0031735B">
          <w:rPr>
            <w:noProof/>
            <w:webHidden/>
          </w:rPr>
          <w:fldChar w:fldCharType="begin"/>
        </w:r>
        <w:r w:rsidR="0031735B">
          <w:rPr>
            <w:noProof/>
            <w:webHidden/>
          </w:rPr>
          <w:instrText xml:space="preserve"> PAGEREF _Toc86727531 \h </w:instrText>
        </w:r>
        <w:r w:rsidR="0031735B">
          <w:rPr>
            <w:noProof/>
            <w:webHidden/>
          </w:rPr>
        </w:r>
        <w:r w:rsidR="0031735B">
          <w:rPr>
            <w:noProof/>
            <w:webHidden/>
          </w:rPr>
          <w:fldChar w:fldCharType="separate"/>
        </w:r>
        <w:r w:rsidR="0031735B">
          <w:rPr>
            <w:noProof/>
            <w:webHidden/>
          </w:rPr>
          <w:t>12</w:t>
        </w:r>
        <w:r w:rsidR="0031735B">
          <w:rPr>
            <w:noProof/>
            <w:webHidden/>
          </w:rPr>
          <w:fldChar w:fldCharType="end"/>
        </w:r>
      </w:hyperlink>
    </w:p>
    <w:p w14:paraId="288550AD" w14:textId="0E0236D1" w:rsidR="0031735B" w:rsidRDefault="00B32DE0">
      <w:pPr>
        <w:pStyle w:val="TableofFigures"/>
        <w:tabs>
          <w:tab w:val="right" w:leader="dot" w:pos="9350"/>
        </w:tabs>
        <w:rPr>
          <w:rFonts w:asciiTheme="minorHAnsi" w:eastAsiaTheme="minorEastAsia" w:hAnsiTheme="minorHAnsi" w:cstheme="minorBidi"/>
          <w:noProof/>
          <w:sz w:val="22"/>
          <w:szCs w:val="22"/>
        </w:rPr>
      </w:pPr>
      <w:hyperlink w:anchor="_Toc86727532" w:history="1">
        <w:r w:rsidR="0031735B" w:rsidRPr="007B288B">
          <w:rPr>
            <w:rStyle w:val="Hyperlink"/>
            <w:rFonts w:eastAsiaTheme="majorEastAsia"/>
            <w:noProof/>
          </w:rPr>
          <w:t xml:space="preserve">Figure 3: </w:t>
        </w:r>
        <w:r w:rsidR="0031735B" w:rsidRPr="007B288B">
          <w:rPr>
            <w:rStyle w:val="Hyperlink"/>
            <w:rFonts w:eastAsiaTheme="majorEastAsia"/>
            <w:noProof/>
            <w:lang w:eastAsia="zh-CN"/>
          </w:rPr>
          <w:t>Capacity Prices in a Market with Policy Intervention B</w:t>
        </w:r>
        <w:r w:rsidR="0031735B">
          <w:rPr>
            <w:noProof/>
            <w:webHidden/>
          </w:rPr>
          <w:tab/>
        </w:r>
        <w:r w:rsidR="0031735B">
          <w:rPr>
            <w:noProof/>
            <w:webHidden/>
          </w:rPr>
          <w:fldChar w:fldCharType="begin"/>
        </w:r>
        <w:r w:rsidR="0031735B">
          <w:rPr>
            <w:noProof/>
            <w:webHidden/>
          </w:rPr>
          <w:instrText xml:space="preserve"> PAGEREF _Toc86727532 \h </w:instrText>
        </w:r>
        <w:r w:rsidR="0031735B">
          <w:rPr>
            <w:noProof/>
            <w:webHidden/>
          </w:rPr>
        </w:r>
        <w:r w:rsidR="0031735B">
          <w:rPr>
            <w:noProof/>
            <w:webHidden/>
          </w:rPr>
          <w:fldChar w:fldCharType="separate"/>
        </w:r>
        <w:r w:rsidR="0031735B">
          <w:rPr>
            <w:noProof/>
            <w:webHidden/>
          </w:rPr>
          <w:t>13</w:t>
        </w:r>
        <w:r w:rsidR="0031735B">
          <w:rPr>
            <w:noProof/>
            <w:webHidden/>
          </w:rPr>
          <w:fldChar w:fldCharType="end"/>
        </w:r>
      </w:hyperlink>
    </w:p>
    <w:p w14:paraId="1D74D5F1" w14:textId="3D189A37" w:rsidR="0031735B" w:rsidRDefault="00B32DE0">
      <w:pPr>
        <w:pStyle w:val="TableofFigures"/>
        <w:tabs>
          <w:tab w:val="right" w:leader="dot" w:pos="9350"/>
        </w:tabs>
        <w:rPr>
          <w:rFonts w:asciiTheme="minorHAnsi" w:eastAsiaTheme="minorEastAsia" w:hAnsiTheme="minorHAnsi" w:cstheme="minorBidi"/>
          <w:noProof/>
          <w:sz w:val="22"/>
          <w:szCs w:val="22"/>
        </w:rPr>
      </w:pPr>
      <w:hyperlink w:anchor="_Toc86727533" w:history="1">
        <w:r w:rsidR="0031735B" w:rsidRPr="007B288B">
          <w:rPr>
            <w:rStyle w:val="Hyperlink"/>
            <w:rFonts w:eastAsiaTheme="majorEastAsia"/>
            <w:noProof/>
          </w:rPr>
          <w:t xml:space="preserve">Figure 4: </w:t>
        </w:r>
        <w:r w:rsidR="0031735B" w:rsidRPr="007B288B">
          <w:rPr>
            <w:rStyle w:val="Hyperlink"/>
            <w:rFonts w:eastAsiaTheme="majorEastAsia"/>
            <w:noProof/>
            <w:lang w:eastAsia="zh-CN"/>
          </w:rPr>
          <w:t>Capacity Prices in a Market with Policy Intervention B and MOPR</w:t>
        </w:r>
        <w:r w:rsidR="0031735B">
          <w:rPr>
            <w:noProof/>
            <w:webHidden/>
          </w:rPr>
          <w:tab/>
        </w:r>
        <w:r w:rsidR="0031735B">
          <w:rPr>
            <w:noProof/>
            <w:webHidden/>
          </w:rPr>
          <w:fldChar w:fldCharType="begin"/>
        </w:r>
        <w:r w:rsidR="0031735B">
          <w:rPr>
            <w:noProof/>
            <w:webHidden/>
          </w:rPr>
          <w:instrText xml:space="preserve"> PAGEREF _Toc86727533 \h </w:instrText>
        </w:r>
        <w:r w:rsidR="0031735B">
          <w:rPr>
            <w:noProof/>
            <w:webHidden/>
          </w:rPr>
        </w:r>
        <w:r w:rsidR="0031735B">
          <w:rPr>
            <w:noProof/>
            <w:webHidden/>
          </w:rPr>
          <w:fldChar w:fldCharType="separate"/>
        </w:r>
        <w:r w:rsidR="0031735B">
          <w:rPr>
            <w:noProof/>
            <w:webHidden/>
          </w:rPr>
          <w:t>13</w:t>
        </w:r>
        <w:r w:rsidR="0031735B">
          <w:rPr>
            <w:noProof/>
            <w:webHidden/>
          </w:rPr>
          <w:fldChar w:fldCharType="end"/>
        </w:r>
      </w:hyperlink>
    </w:p>
    <w:p w14:paraId="264030E8" w14:textId="6F79A3EF" w:rsidR="0031735B" w:rsidRDefault="00B32DE0">
      <w:pPr>
        <w:pStyle w:val="TableofFigures"/>
        <w:tabs>
          <w:tab w:val="right" w:leader="dot" w:pos="9350"/>
        </w:tabs>
        <w:rPr>
          <w:rFonts w:asciiTheme="minorHAnsi" w:eastAsiaTheme="minorEastAsia" w:hAnsiTheme="minorHAnsi" w:cstheme="minorBidi"/>
          <w:noProof/>
          <w:sz w:val="22"/>
          <w:szCs w:val="22"/>
        </w:rPr>
      </w:pPr>
      <w:hyperlink w:anchor="_Toc86727534" w:history="1">
        <w:r w:rsidR="0031735B" w:rsidRPr="007B288B">
          <w:rPr>
            <w:rStyle w:val="Hyperlink"/>
            <w:rFonts w:eastAsiaTheme="majorEastAsia"/>
            <w:noProof/>
          </w:rPr>
          <w:t>Figure 5: Illustrative Revenue Distributions in the MOPR and No MOPR Cases</w:t>
        </w:r>
        <w:r w:rsidR="0031735B">
          <w:rPr>
            <w:noProof/>
            <w:webHidden/>
          </w:rPr>
          <w:tab/>
        </w:r>
        <w:r w:rsidR="0031735B">
          <w:rPr>
            <w:noProof/>
            <w:webHidden/>
          </w:rPr>
          <w:fldChar w:fldCharType="begin"/>
        </w:r>
        <w:r w:rsidR="0031735B">
          <w:rPr>
            <w:noProof/>
            <w:webHidden/>
          </w:rPr>
          <w:instrText xml:space="preserve"> PAGEREF _Toc86727534 \h </w:instrText>
        </w:r>
        <w:r w:rsidR="0031735B">
          <w:rPr>
            <w:noProof/>
            <w:webHidden/>
          </w:rPr>
        </w:r>
        <w:r w:rsidR="0031735B">
          <w:rPr>
            <w:noProof/>
            <w:webHidden/>
          </w:rPr>
          <w:fldChar w:fldCharType="separate"/>
        </w:r>
        <w:r w:rsidR="0031735B">
          <w:rPr>
            <w:noProof/>
            <w:webHidden/>
          </w:rPr>
          <w:t>22</w:t>
        </w:r>
        <w:r w:rsidR="0031735B">
          <w:rPr>
            <w:noProof/>
            <w:webHidden/>
          </w:rPr>
          <w:fldChar w:fldCharType="end"/>
        </w:r>
      </w:hyperlink>
    </w:p>
    <w:p w14:paraId="07A0EA29" w14:textId="361CE242" w:rsidR="0031735B" w:rsidRDefault="00B32DE0">
      <w:pPr>
        <w:pStyle w:val="TableofFigures"/>
        <w:tabs>
          <w:tab w:val="right" w:leader="dot" w:pos="9350"/>
        </w:tabs>
        <w:rPr>
          <w:rFonts w:asciiTheme="minorHAnsi" w:eastAsiaTheme="minorEastAsia" w:hAnsiTheme="minorHAnsi" w:cstheme="minorBidi"/>
          <w:noProof/>
          <w:sz w:val="22"/>
          <w:szCs w:val="22"/>
        </w:rPr>
      </w:pPr>
      <w:hyperlink w:anchor="_Toc86727535" w:history="1">
        <w:r w:rsidR="0031735B" w:rsidRPr="007B288B">
          <w:rPr>
            <w:rStyle w:val="Hyperlink"/>
            <w:rFonts w:eastAsiaTheme="majorEastAsia"/>
            <w:noProof/>
          </w:rPr>
          <w:t>Figure 6: Assumed Relationship between Cost of Debt and Rating Case DSCR</w:t>
        </w:r>
        <w:r w:rsidR="0031735B">
          <w:rPr>
            <w:noProof/>
            <w:webHidden/>
          </w:rPr>
          <w:tab/>
        </w:r>
        <w:r w:rsidR="0031735B">
          <w:rPr>
            <w:noProof/>
            <w:webHidden/>
          </w:rPr>
          <w:fldChar w:fldCharType="begin"/>
        </w:r>
        <w:r w:rsidR="0031735B">
          <w:rPr>
            <w:noProof/>
            <w:webHidden/>
          </w:rPr>
          <w:instrText xml:space="preserve"> PAGEREF _Toc86727535 \h </w:instrText>
        </w:r>
        <w:r w:rsidR="0031735B">
          <w:rPr>
            <w:noProof/>
            <w:webHidden/>
          </w:rPr>
        </w:r>
        <w:r w:rsidR="0031735B">
          <w:rPr>
            <w:noProof/>
            <w:webHidden/>
          </w:rPr>
          <w:fldChar w:fldCharType="separate"/>
        </w:r>
        <w:r w:rsidR="0031735B">
          <w:rPr>
            <w:noProof/>
            <w:webHidden/>
          </w:rPr>
          <w:t>24</w:t>
        </w:r>
        <w:r w:rsidR="0031735B">
          <w:rPr>
            <w:noProof/>
            <w:webHidden/>
          </w:rPr>
          <w:fldChar w:fldCharType="end"/>
        </w:r>
      </w:hyperlink>
    </w:p>
    <w:p w14:paraId="4343CB03" w14:textId="6321557E" w:rsidR="0031735B" w:rsidRDefault="00B32DE0">
      <w:pPr>
        <w:pStyle w:val="TableofFigures"/>
        <w:tabs>
          <w:tab w:val="right" w:leader="dot" w:pos="9350"/>
        </w:tabs>
        <w:rPr>
          <w:rFonts w:asciiTheme="minorHAnsi" w:eastAsiaTheme="minorEastAsia" w:hAnsiTheme="minorHAnsi" w:cstheme="minorBidi"/>
          <w:noProof/>
          <w:sz w:val="22"/>
          <w:szCs w:val="22"/>
        </w:rPr>
      </w:pPr>
      <w:hyperlink w:anchor="_Toc86727536" w:history="1">
        <w:r w:rsidR="0031735B" w:rsidRPr="007B288B">
          <w:rPr>
            <w:rStyle w:val="Hyperlink"/>
            <w:rFonts w:eastAsiaTheme="majorEastAsia"/>
            <w:noProof/>
          </w:rPr>
          <w:t>Figure 7: Summary of Modeling Steps</w:t>
        </w:r>
        <w:r w:rsidR="0031735B">
          <w:rPr>
            <w:noProof/>
            <w:webHidden/>
          </w:rPr>
          <w:tab/>
        </w:r>
        <w:r w:rsidR="0031735B">
          <w:rPr>
            <w:noProof/>
            <w:webHidden/>
          </w:rPr>
          <w:fldChar w:fldCharType="begin"/>
        </w:r>
        <w:r w:rsidR="0031735B">
          <w:rPr>
            <w:noProof/>
            <w:webHidden/>
          </w:rPr>
          <w:instrText xml:space="preserve"> PAGEREF _Toc86727536 \h </w:instrText>
        </w:r>
        <w:r w:rsidR="0031735B">
          <w:rPr>
            <w:noProof/>
            <w:webHidden/>
          </w:rPr>
        </w:r>
        <w:r w:rsidR="0031735B">
          <w:rPr>
            <w:noProof/>
            <w:webHidden/>
          </w:rPr>
          <w:fldChar w:fldCharType="separate"/>
        </w:r>
        <w:r w:rsidR="0031735B">
          <w:rPr>
            <w:noProof/>
            <w:webHidden/>
          </w:rPr>
          <w:t>25</w:t>
        </w:r>
        <w:r w:rsidR="0031735B">
          <w:rPr>
            <w:noProof/>
            <w:webHidden/>
          </w:rPr>
          <w:fldChar w:fldCharType="end"/>
        </w:r>
      </w:hyperlink>
    </w:p>
    <w:p w14:paraId="1ACFFAB3" w14:textId="75F0F962" w:rsidR="0031735B" w:rsidRDefault="00B32DE0">
      <w:pPr>
        <w:pStyle w:val="TableofFigures"/>
        <w:tabs>
          <w:tab w:val="right" w:leader="dot" w:pos="9350"/>
        </w:tabs>
        <w:rPr>
          <w:rFonts w:asciiTheme="minorHAnsi" w:eastAsiaTheme="minorEastAsia" w:hAnsiTheme="minorHAnsi" w:cstheme="minorBidi"/>
          <w:noProof/>
          <w:sz w:val="22"/>
          <w:szCs w:val="22"/>
        </w:rPr>
      </w:pPr>
      <w:hyperlink w:anchor="_Toc86727537" w:history="1">
        <w:r w:rsidR="0031735B" w:rsidRPr="007B288B">
          <w:rPr>
            <w:rStyle w:val="Hyperlink"/>
            <w:rFonts w:eastAsiaTheme="majorEastAsia"/>
            <w:noProof/>
          </w:rPr>
          <w:t>Figure 8: Peak Load Forecast Scenarios</w:t>
        </w:r>
        <w:r w:rsidR="0031735B">
          <w:rPr>
            <w:noProof/>
            <w:webHidden/>
          </w:rPr>
          <w:tab/>
        </w:r>
        <w:r w:rsidR="0031735B">
          <w:rPr>
            <w:noProof/>
            <w:webHidden/>
          </w:rPr>
          <w:fldChar w:fldCharType="begin"/>
        </w:r>
        <w:r w:rsidR="0031735B">
          <w:rPr>
            <w:noProof/>
            <w:webHidden/>
          </w:rPr>
          <w:instrText xml:space="preserve"> PAGEREF _Toc86727537 \h </w:instrText>
        </w:r>
        <w:r w:rsidR="0031735B">
          <w:rPr>
            <w:noProof/>
            <w:webHidden/>
          </w:rPr>
        </w:r>
        <w:r w:rsidR="0031735B">
          <w:rPr>
            <w:noProof/>
            <w:webHidden/>
          </w:rPr>
          <w:fldChar w:fldCharType="separate"/>
        </w:r>
        <w:r w:rsidR="0031735B">
          <w:rPr>
            <w:noProof/>
            <w:webHidden/>
          </w:rPr>
          <w:t>33</w:t>
        </w:r>
        <w:r w:rsidR="0031735B">
          <w:rPr>
            <w:noProof/>
            <w:webHidden/>
          </w:rPr>
          <w:fldChar w:fldCharType="end"/>
        </w:r>
      </w:hyperlink>
    </w:p>
    <w:p w14:paraId="37D158E1" w14:textId="0662BBA6" w:rsidR="0031735B" w:rsidRDefault="00B32DE0">
      <w:pPr>
        <w:pStyle w:val="TableofFigures"/>
        <w:tabs>
          <w:tab w:val="right" w:leader="dot" w:pos="9350"/>
        </w:tabs>
        <w:rPr>
          <w:rFonts w:asciiTheme="minorHAnsi" w:eastAsiaTheme="minorEastAsia" w:hAnsiTheme="minorHAnsi" w:cstheme="minorBidi"/>
          <w:noProof/>
          <w:sz w:val="22"/>
          <w:szCs w:val="22"/>
        </w:rPr>
      </w:pPr>
      <w:hyperlink w:anchor="_Toc86727538" w:history="1">
        <w:r w:rsidR="0031735B" w:rsidRPr="007B288B">
          <w:rPr>
            <w:rStyle w:val="Hyperlink"/>
            <w:rFonts w:eastAsiaTheme="majorEastAsia"/>
            <w:noProof/>
          </w:rPr>
          <w:t>Figure 9: Targets for Solar and Storage Resources (nameplate capacity)</w:t>
        </w:r>
        <w:r w:rsidR="0031735B">
          <w:rPr>
            <w:noProof/>
            <w:webHidden/>
          </w:rPr>
          <w:tab/>
        </w:r>
        <w:r w:rsidR="0031735B">
          <w:rPr>
            <w:noProof/>
            <w:webHidden/>
          </w:rPr>
          <w:fldChar w:fldCharType="begin"/>
        </w:r>
        <w:r w:rsidR="0031735B">
          <w:rPr>
            <w:noProof/>
            <w:webHidden/>
          </w:rPr>
          <w:instrText xml:space="preserve"> PAGEREF _Toc86727538 \h </w:instrText>
        </w:r>
        <w:r w:rsidR="0031735B">
          <w:rPr>
            <w:noProof/>
            <w:webHidden/>
          </w:rPr>
        </w:r>
        <w:r w:rsidR="0031735B">
          <w:rPr>
            <w:noProof/>
            <w:webHidden/>
          </w:rPr>
          <w:fldChar w:fldCharType="separate"/>
        </w:r>
        <w:r w:rsidR="0031735B">
          <w:rPr>
            <w:noProof/>
            <w:webHidden/>
          </w:rPr>
          <w:t>37</w:t>
        </w:r>
        <w:r w:rsidR="0031735B">
          <w:rPr>
            <w:noProof/>
            <w:webHidden/>
          </w:rPr>
          <w:fldChar w:fldCharType="end"/>
        </w:r>
      </w:hyperlink>
    </w:p>
    <w:p w14:paraId="754B7DE3" w14:textId="4B2B7356" w:rsidR="0031735B" w:rsidRDefault="00B32DE0">
      <w:pPr>
        <w:pStyle w:val="TableofFigures"/>
        <w:tabs>
          <w:tab w:val="right" w:leader="dot" w:pos="9350"/>
        </w:tabs>
        <w:rPr>
          <w:rFonts w:asciiTheme="minorHAnsi" w:eastAsiaTheme="minorEastAsia" w:hAnsiTheme="minorHAnsi" w:cstheme="minorBidi"/>
          <w:noProof/>
          <w:sz w:val="22"/>
          <w:szCs w:val="22"/>
        </w:rPr>
      </w:pPr>
      <w:hyperlink w:anchor="_Toc86727539" w:history="1">
        <w:r w:rsidR="0031735B" w:rsidRPr="007B288B">
          <w:rPr>
            <w:rStyle w:val="Hyperlink"/>
            <w:rFonts w:eastAsiaTheme="majorEastAsia"/>
            <w:noProof/>
          </w:rPr>
          <w:t>Figure 10: Qualified Capacity from Subsidized Energy Storage and Solar Resources</w:t>
        </w:r>
        <w:r w:rsidR="0031735B">
          <w:rPr>
            <w:noProof/>
            <w:webHidden/>
          </w:rPr>
          <w:tab/>
        </w:r>
        <w:r w:rsidR="0031735B">
          <w:rPr>
            <w:noProof/>
            <w:webHidden/>
          </w:rPr>
          <w:fldChar w:fldCharType="begin"/>
        </w:r>
        <w:r w:rsidR="0031735B">
          <w:rPr>
            <w:noProof/>
            <w:webHidden/>
          </w:rPr>
          <w:instrText xml:space="preserve"> PAGEREF _Toc86727539 \h </w:instrText>
        </w:r>
        <w:r w:rsidR="0031735B">
          <w:rPr>
            <w:noProof/>
            <w:webHidden/>
          </w:rPr>
        </w:r>
        <w:r w:rsidR="0031735B">
          <w:rPr>
            <w:noProof/>
            <w:webHidden/>
          </w:rPr>
          <w:fldChar w:fldCharType="separate"/>
        </w:r>
        <w:r w:rsidR="0031735B">
          <w:rPr>
            <w:noProof/>
            <w:webHidden/>
          </w:rPr>
          <w:t>38</w:t>
        </w:r>
        <w:r w:rsidR="0031735B">
          <w:rPr>
            <w:noProof/>
            <w:webHidden/>
          </w:rPr>
          <w:fldChar w:fldCharType="end"/>
        </w:r>
      </w:hyperlink>
    </w:p>
    <w:p w14:paraId="6C29589C" w14:textId="5713B285" w:rsidR="0031735B" w:rsidRDefault="00B32DE0">
      <w:pPr>
        <w:pStyle w:val="TableofFigures"/>
        <w:tabs>
          <w:tab w:val="right" w:leader="dot" w:pos="9350"/>
        </w:tabs>
        <w:rPr>
          <w:rFonts w:asciiTheme="minorHAnsi" w:eastAsiaTheme="minorEastAsia" w:hAnsiTheme="minorHAnsi" w:cstheme="minorBidi"/>
          <w:noProof/>
          <w:sz w:val="22"/>
          <w:szCs w:val="22"/>
        </w:rPr>
      </w:pPr>
      <w:hyperlink w:anchor="_Toc86727540" w:history="1">
        <w:r w:rsidR="0031735B" w:rsidRPr="007B288B">
          <w:rPr>
            <w:rStyle w:val="Hyperlink"/>
            <w:rFonts w:eastAsiaTheme="majorEastAsia"/>
            <w:noProof/>
          </w:rPr>
          <w:t>Figure 11: NREL’s 4-hour Battery Cost Projections</w:t>
        </w:r>
        <w:r w:rsidR="0031735B">
          <w:rPr>
            <w:noProof/>
            <w:webHidden/>
          </w:rPr>
          <w:tab/>
        </w:r>
        <w:r w:rsidR="0031735B">
          <w:rPr>
            <w:noProof/>
            <w:webHidden/>
          </w:rPr>
          <w:fldChar w:fldCharType="begin"/>
        </w:r>
        <w:r w:rsidR="0031735B">
          <w:rPr>
            <w:noProof/>
            <w:webHidden/>
          </w:rPr>
          <w:instrText xml:space="preserve"> PAGEREF _Toc86727540 \h </w:instrText>
        </w:r>
        <w:r w:rsidR="0031735B">
          <w:rPr>
            <w:noProof/>
            <w:webHidden/>
          </w:rPr>
        </w:r>
        <w:r w:rsidR="0031735B">
          <w:rPr>
            <w:noProof/>
            <w:webHidden/>
          </w:rPr>
          <w:fldChar w:fldCharType="separate"/>
        </w:r>
        <w:r w:rsidR="0031735B">
          <w:rPr>
            <w:noProof/>
            <w:webHidden/>
          </w:rPr>
          <w:t>39</w:t>
        </w:r>
        <w:r w:rsidR="0031735B">
          <w:rPr>
            <w:noProof/>
            <w:webHidden/>
          </w:rPr>
          <w:fldChar w:fldCharType="end"/>
        </w:r>
      </w:hyperlink>
    </w:p>
    <w:p w14:paraId="09394F49" w14:textId="2DE9ACC6" w:rsidR="0031735B" w:rsidRDefault="00B32DE0">
      <w:pPr>
        <w:pStyle w:val="TableofFigures"/>
        <w:tabs>
          <w:tab w:val="right" w:leader="dot" w:pos="9350"/>
        </w:tabs>
        <w:rPr>
          <w:rFonts w:asciiTheme="minorHAnsi" w:eastAsiaTheme="minorEastAsia" w:hAnsiTheme="minorHAnsi" w:cstheme="minorBidi"/>
          <w:noProof/>
          <w:sz w:val="22"/>
          <w:szCs w:val="22"/>
        </w:rPr>
      </w:pPr>
      <w:hyperlink w:anchor="_Toc86727541" w:history="1">
        <w:r w:rsidR="0031735B" w:rsidRPr="007B288B">
          <w:rPr>
            <w:rStyle w:val="Hyperlink"/>
            <w:rFonts w:eastAsiaTheme="majorEastAsia"/>
            <w:noProof/>
          </w:rPr>
          <w:t>Figure 12</w:t>
        </w:r>
        <w:r w:rsidR="0031735B" w:rsidRPr="007B288B">
          <w:rPr>
            <w:rStyle w:val="Hyperlink"/>
            <w:rFonts w:eastAsiaTheme="majorEastAsia"/>
            <w:noProof/>
            <w:lang w:eastAsia="zh-CN"/>
          </w:rPr>
          <w:t>: Distribution of EAS Revenues at Various Surplus Levels</w:t>
        </w:r>
        <w:r w:rsidR="0031735B">
          <w:rPr>
            <w:noProof/>
            <w:webHidden/>
          </w:rPr>
          <w:tab/>
        </w:r>
        <w:r w:rsidR="0031735B">
          <w:rPr>
            <w:noProof/>
            <w:webHidden/>
          </w:rPr>
          <w:fldChar w:fldCharType="begin"/>
        </w:r>
        <w:r w:rsidR="0031735B">
          <w:rPr>
            <w:noProof/>
            <w:webHidden/>
          </w:rPr>
          <w:instrText xml:space="preserve"> PAGEREF _Toc86727541 \h </w:instrText>
        </w:r>
        <w:r w:rsidR="0031735B">
          <w:rPr>
            <w:noProof/>
            <w:webHidden/>
          </w:rPr>
        </w:r>
        <w:r w:rsidR="0031735B">
          <w:rPr>
            <w:noProof/>
            <w:webHidden/>
          </w:rPr>
          <w:fldChar w:fldCharType="separate"/>
        </w:r>
        <w:r w:rsidR="0031735B">
          <w:rPr>
            <w:noProof/>
            <w:webHidden/>
          </w:rPr>
          <w:t>41</w:t>
        </w:r>
        <w:r w:rsidR="0031735B">
          <w:rPr>
            <w:noProof/>
            <w:webHidden/>
          </w:rPr>
          <w:fldChar w:fldCharType="end"/>
        </w:r>
      </w:hyperlink>
    </w:p>
    <w:p w14:paraId="76A36BAC" w14:textId="4CE2A1C6" w:rsidR="0031735B" w:rsidRDefault="00B32DE0">
      <w:pPr>
        <w:pStyle w:val="TableofFigures"/>
        <w:tabs>
          <w:tab w:val="right" w:leader="dot" w:pos="9350"/>
        </w:tabs>
        <w:rPr>
          <w:rFonts w:asciiTheme="minorHAnsi" w:eastAsiaTheme="minorEastAsia" w:hAnsiTheme="minorHAnsi" w:cstheme="minorBidi"/>
          <w:noProof/>
          <w:sz w:val="22"/>
          <w:szCs w:val="22"/>
        </w:rPr>
      </w:pPr>
      <w:hyperlink w:anchor="_Toc86727542" w:history="1">
        <w:r w:rsidR="0031735B" w:rsidRPr="007B288B">
          <w:rPr>
            <w:rStyle w:val="Hyperlink"/>
            <w:rFonts w:eastAsiaTheme="majorEastAsia"/>
            <w:noProof/>
          </w:rPr>
          <w:t>Figure 13: Estimated Hours of System Operating Reserve Deficiencies for 2024/25</w:t>
        </w:r>
        <w:r w:rsidR="0031735B">
          <w:rPr>
            <w:noProof/>
            <w:webHidden/>
          </w:rPr>
          <w:tab/>
        </w:r>
        <w:r w:rsidR="0031735B">
          <w:rPr>
            <w:noProof/>
            <w:webHidden/>
          </w:rPr>
          <w:fldChar w:fldCharType="begin"/>
        </w:r>
        <w:r w:rsidR="0031735B">
          <w:rPr>
            <w:noProof/>
            <w:webHidden/>
          </w:rPr>
          <w:instrText xml:space="preserve"> PAGEREF _Toc86727542 \h </w:instrText>
        </w:r>
        <w:r w:rsidR="0031735B">
          <w:rPr>
            <w:noProof/>
            <w:webHidden/>
          </w:rPr>
        </w:r>
        <w:r w:rsidR="0031735B">
          <w:rPr>
            <w:noProof/>
            <w:webHidden/>
          </w:rPr>
          <w:fldChar w:fldCharType="separate"/>
        </w:r>
        <w:r w:rsidR="0031735B">
          <w:rPr>
            <w:noProof/>
            <w:webHidden/>
          </w:rPr>
          <w:t>42</w:t>
        </w:r>
        <w:r w:rsidR="0031735B">
          <w:rPr>
            <w:noProof/>
            <w:webHidden/>
          </w:rPr>
          <w:fldChar w:fldCharType="end"/>
        </w:r>
      </w:hyperlink>
    </w:p>
    <w:p w14:paraId="7666A29D" w14:textId="3CCD3144" w:rsidR="0031735B" w:rsidRDefault="00B32DE0">
      <w:pPr>
        <w:pStyle w:val="TableofFigures"/>
        <w:tabs>
          <w:tab w:val="right" w:leader="dot" w:pos="9350"/>
        </w:tabs>
        <w:rPr>
          <w:rFonts w:asciiTheme="minorHAnsi" w:eastAsiaTheme="minorEastAsia" w:hAnsiTheme="minorHAnsi" w:cstheme="minorBidi"/>
          <w:noProof/>
          <w:sz w:val="22"/>
          <w:szCs w:val="22"/>
        </w:rPr>
      </w:pPr>
      <w:hyperlink w:anchor="_Toc86727543" w:history="1">
        <w:r w:rsidR="0031735B" w:rsidRPr="007B288B">
          <w:rPr>
            <w:rStyle w:val="Hyperlink"/>
            <w:rFonts w:eastAsiaTheme="majorEastAsia"/>
            <w:noProof/>
          </w:rPr>
          <w:t xml:space="preserve">Figure 14: </w:t>
        </w:r>
        <w:r w:rsidR="0031735B" w:rsidRPr="007B288B">
          <w:rPr>
            <w:rStyle w:val="Hyperlink"/>
            <w:rFonts w:eastAsiaTheme="majorEastAsia"/>
            <w:noProof/>
            <w:lang w:eastAsia="zh-CN"/>
          </w:rPr>
          <w:t>Distribution of Revenues to Reference Unit with and without MOPR</w:t>
        </w:r>
        <w:r w:rsidR="0031735B">
          <w:rPr>
            <w:noProof/>
            <w:webHidden/>
          </w:rPr>
          <w:tab/>
        </w:r>
        <w:r w:rsidR="0031735B">
          <w:rPr>
            <w:noProof/>
            <w:webHidden/>
          </w:rPr>
          <w:fldChar w:fldCharType="begin"/>
        </w:r>
        <w:r w:rsidR="0031735B">
          <w:rPr>
            <w:noProof/>
            <w:webHidden/>
          </w:rPr>
          <w:instrText xml:space="preserve"> PAGEREF _Toc86727543 \h </w:instrText>
        </w:r>
        <w:r w:rsidR="0031735B">
          <w:rPr>
            <w:noProof/>
            <w:webHidden/>
          </w:rPr>
        </w:r>
        <w:r w:rsidR="0031735B">
          <w:rPr>
            <w:noProof/>
            <w:webHidden/>
          </w:rPr>
          <w:fldChar w:fldCharType="separate"/>
        </w:r>
        <w:r w:rsidR="0031735B">
          <w:rPr>
            <w:noProof/>
            <w:webHidden/>
          </w:rPr>
          <w:t>46</w:t>
        </w:r>
        <w:r w:rsidR="0031735B">
          <w:rPr>
            <w:noProof/>
            <w:webHidden/>
          </w:rPr>
          <w:fldChar w:fldCharType="end"/>
        </w:r>
      </w:hyperlink>
    </w:p>
    <w:p w14:paraId="5A79480F" w14:textId="7775E310" w:rsidR="0031735B" w:rsidRDefault="00B32DE0">
      <w:pPr>
        <w:pStyle w:val="TableofFigures"/>
        <w:tabs>
          <w:tab w:val="right" w:leader="dot" w:pos="9350"/>
        </w:tabs>
        <w:rPr>
          <w:rFonts w:asciiTheme="minorHAnsi" w:eastAsiaTheme="minorEastAsia" w:hAnsiTheme="minorHAnsi" w:cstheme="minorBidi"/>
          <w:noProof/>
          <w:sz w:val="22"/>
          <w:szCs w:val="22"/>
        </w:rPr>
      </w:pPr>
      <w:hyperlink w:anchor="_Toc86727544" w:history="1">
        <w:r w:rsidR="0031735B" w:rsidRPr="007B288B">
          <w:rPr>
            <w:rStyle w:val="Hyperlink"/>
            <w:rFonts w:eastAsiaTheme="majorEastAsia"/>
            <w:noProof/>
          </w:rPr>
          <w:t>Figure 15</w:t>
        </w:r>
        <w:r w:rsidR="0031735B" w:rsidRPr="007B288B">
          <w:rPr>
            <w:rStyle w:val="Hyperlink"/>
            <w:rFonts w:eastAsiaTheme="majorEastAsia"/>
            <w:noProof/>
            <w:lang w:eastAsia="zh-CN"/>
          </w:rPr>
          <w:t>: Iterations to determine COE and COD in No MOPR Case</w:t>
        </w:r>
        <w:r w:rsidR="0031735B">
          <w:rPr>
            <w:noProof/>
            <w:webHidden/>
          </w:rPr>
          <w:tab/>
        </w:r>
        <w:r w:rsidR="0031735B">
          <w:rPr>
            <w:noProof/>
            <w:webHidden/>
          </w:rPr>
          <w:fldChar w:fldCharType="begin"/>
        </w:r>
        <w:r w:rsidR="0031735B">
          <w:rPr>
            <w:noProof/>
            <w:webHidden/>
          </w:rPr>
          <w:instrText xml:space="preserve"> PAGEREF _Toc86727544 \h </w:instrText>
        </w:r>
        <w:r w:rsidR="0031735B">
          <w:rPr>
            <w:noProof/>
            <w:webHidden/>
          </w:rPr>
        </w:r>
        <w:r w:rsidR="0031735B">
          <w:rPr>
            <w:noProof/>
            <w:webHidden/>
          </w:rPr>
          <w:fldChar w:fldCharType="separate"/>
        </w:r>
        <w:r w:rsidR="0031735B">
          <w:rPr>
            <w:noProof/>
            <w:webHidden/>
          </w:rPr>
          <w:t>49</w:t>
        </w:r>
        <w:r w:rsidR="0031735B">
          <w:rPr>
            <w:noProof/>
            <w:webHidden/>
          </w:rPr>
          <w:fldChar w:fldCharType="end"/>
        </w:r>
      </w:hyperlink>
    </w:p>
    <w:p w14:paraId="79CE5E5B" w14:textId="17AF2E19" w:rsidR="0031735B" w:rsidRDefault="00B32DE0">
      <w:pPr>
        <w:pStyle w:val="TableofFigures"/>
        <w:tabs>
          <w:tab w:val="right" w:leader="dot" w:pos="9350"/>
        </w:tabs>
        <w:rPr>
          <w:rFonts w:asciiTheme="minorHAnsi" w:eastAsiaTheme="minorEastAsia" w:hAnsiTheme="minorHAnsi" w:cstheme="minorBidi"/>
          <w:noProof/>
          <w:sz w:val="22"/>
          <w:szCs w:val="22"/>
        </w:rPr>
      </w:pPr>
      <w:hyperlink w:anchor="_Toc86727545" w:history="1">
        <w:r w:rsidR="0031735B" w:rsidRPr="007B288B">
          <w:rPr>
            <w:rStyle w:val="Hyperlink"/>
            <w:rFonts w:eastAsiaTheme="majorEastAsia"/>
            <w:noProof/>
          </w:rPr>
          <w:t>Figure 16:</w:t>
        </w:r>
        <w:r w:rsidR="0031735B" w:rsidRPr="007B288B">
          <w:rPr>
            <w:rStyle w:val="Hyperlink"/>
            <w:rFonts w:eastAsiaTheme="majorEastAsia"/>
            <w:noProof/>
            <w:lang w:eastAsia="zh-CN"/>
          </w:rPr>
          <w:t xml:space="preserve"> Change in ATWACC with Leverage</w:t>
        </w:r>
        <w:r w:rsidR="0031735B">
          <w:rPr>
            <w:noProof/>
            <w:webHidden/>
          </w:rPr>
          <w:tab/>
        </w:r>
        <w:r w:rsidR="0031735B">
          <w:rPr>
            <w:noProof/>
            <w:webHidden/>
          </w:rPr>
          <w:fldChar w:fldCharType="begin"/>
        </w:r>
        <w:r w:rsidR="0031735B">
          <w:rPr>
            <w:noProof/>
            <w:webHidden/>
          </w:rPr>
          <w:instrText xml:space="preserve"> PAGEREF _Toc86727545 \h </w:instrText>
        </w:r>
        <w:r w:rsidR="0031735B">
          <w:rPr>
            <w:noProof/>
            <w:webHidden/>
          </w:rPr>
        </w:r>
        <w:r w:rsidR="0031735B">
          <w:rPr>
            <w:noProof/>
            <w:webHidden/>
          </w:rPr>
          <w:fldChar w:fldCharType="separate"/>
        </w:r>
        <w:r w:rsidR="0031735B">
          <w:rPr>
            <w:noProof/>
            <w:webHidden/>
          </w:rPr>
          <w:t>50</w:t>
        </w:r>
        <w:r w:rsidR="0031735B">
          <w:rPr>
            <w:noProof/>
            <w:webHidden/>
          </w:rPr>
          <w:fldChar w:fldCharType="end"/>
        </w:r>
      </w:hyperlink>
    </w:p>
    <w:p w14:paraId="7D06D35F" w14:textId="23B07351" w:rsidR="0031735B" w:rsidRDefault="00B32DE0">
      <w:pPr>
        <w:pStyle w:val="TableofFigures"/>
        <w:tabs>
          <w:tab w:val="right" w:leader="dot" w:pos="9350"/>
        </w:tabs>
        <w:rPr>
          <w:rFonts w:asciiTheme="minorHAnsi" w:eastAsiaTheme="minorEastAsia" w:hAnsiTheme="minorHAnsi" w:cstheme="minorBidi"/>
          <w:noProof/>
          <w:sz w:val="22"/>
          <w:szCs w:val="22"/>
        </w:rPr>
      </w:pPr>
      <w:hyperlink w:anchor="_Toc86727546" w:history="1">
        <w:r w:rsidR="0031735B" w:rsidRPr="007B288B">
          <w:rPr>
            <w:rStyle w:val="Hyperlink"/>
            <w:rFonts w:eastAsiaTheme="majorEastAsia"/>
            <w:noProof/>
          </w:rPr>
          <w:t xml:space="preserve">Figure 17: </w:t>
        </w:r>
        <w:r w:rsidR="0031735B" w:rsidRPr="007B288B">
          <w:rPr>
            <w:rStyle w:val="Hyperlink"/>
            <w:rFonts w:eastAsiaTheme="majorEastAsia"/>
            <w:noProof/>
            <w:lang w:eastAsia="zh-CN"/>
          </w:rPr>
          <w:t>Distribution of Revenues to Reference Unit</w:t>
        </w:r>
        <w:r w:rsidR="0031735B">
          <w:rPr>
            <w:noProof/>
            <w:webHidden/>
          </w:rPr>
          <w:tab/>
        </w:r>
        <w:r w:rsidR="0031735B">
          <w:rPr>
            <w:noProof/>
            <w:webHidden/>
          </w:rPr>
          <w:fldChar w:fldCharType="begin"/>
        </w:r>
        <w:r w:rsidR="0031735B">
          <w:rPr>
            <w:noProof/>
            <w:webHidden/>
          </w:rPr>
          <w:instrText xml:space="preserve"> PAGEREF _Toc86727546 \h </w:instrText>
        </w:r>
        <w:r w:rsidR="0031735B">
          <w:rPr>
            <w:noProof/>
            <w:webHidden/>
          </w:rPr>
        </w:r>
        <w:r w:rsidR="0031735B">
          <w:rPr>
            <w:noProof/>
            <w:webHidden/>
          </w:rPr>
          <w:fldChar w:fldCharType="separate"/>
        </w:r>
        <w:r w:rsidR="0031735B">
          <w:rPr>
            <w:noProof/>
            <w:webHidden/>
          </w:rPr>
          <w:t>51</w:t>
        </w:r>
        <w:r w:rsidR="0031735B">
          <w:rPr>
            <w:noProof/>
            <w:webHidden/>
          </w:rPr>
          <w:fldChar w:fldCharType="end"/>
        </w:r>
      </w:hyperlink>
    </w:p>
    <w:p w14:paraId="3AF0DDE6" w14:textId="3921714F" w:rsidR="006103BB" w:rsidRPr="009F369E" w:rsidRDefault="006103BB" w:rsidP="006103BB">
      <w:pPr>
        <w:pStyle w:val="TableofFigures"/>
        <w:rPr>
          <w:rFonts w:ascii="Times New Roman Bold" w:eastAsiaTheme="majorEastAsia" w:hAnsi="Times New Roman Bold" w:cstheme="majorBidi" w:hint="eastAsia"/>
          <w:b/>
          <w:bCs/>
          <w:smallCaps/>
          <w:color w:val="214DAF"/>
          <w:sz w:val="28"/>
          <w:szCs w:val="28"/>
        </w:rPr>
      </w:pPr>
      <w:r>
        <w:rPr>
          <w:szCs w:val="23"/>
        </w:rPr>
        <w:fldChar w:fldCharType="end"/>
      </w:r>
    </w:p>
    <w:p w14:paraId="548D3593" w14:textId="4E439D72" w:rsidR="006103BB" w:rsidRPr="009F369E" w:rsidRDefault="006103BB" w:rsidP="00E27F6B">
      <w:pPr>
        <w:pStyle w:val="rptmainbodytitleTOC"/>
        <w:rPr>
          <w:rFonts w:ascii="Times New Roman Bold" w:eastAsiaTheme="majorEastAsia" w:hAnsi="Times New Roman Bold" w:cstheme="majorBidi" w:hint="eastAsia"/>
          <w:bCs/>
          <w:smallCaps/>
          <w:color w:val="214DAF"/>
          <w:sz w:val="28"/>
          <w:szCs w:val="28"/>
          <w:u w:val="none"/>
        </w:rPr>
      </w:pPr>
      <w:r w:rsidRPr="009F369E">
        <w:rPr>
          <w:rFonts w:ascii="Times New Roman Bold" w:eastAsiaTheme="majorEastAsia" w:hAnsi="Times New Roman Bold" w:cstheme="majorBidi"/>
          <w:bCs/>
          <w:smallCaps/>
          <w:color w:val="214DAF"/>
          <w:sz w:val="28"/>
          <w:szCs w:val="28"/>
          <w:u w:val="none"/>
        </w:rPr>
        <w:t>List of Tables</w:t>
      </w:r>
    </w:p>
    <w:p w14:paraId="481605D8" w14:textId="2903331C" w:rsidR="00C97C0E" w:rsidRDefault="008F182A">
      <w:pPr>
        <w:pStyle w:val="TableofFigures"/>
        <w:tabs>
          <w:tab w:val="right" w:leader="dot" w:pos="9350"/>
        </w:tabs>
        <w:rPr>
          <w:rFonts w:asciiTheme="minorHAnsi" w:eastAsiaTheme="minorEastAsia" w:hAnsiTheme="minorHAnsi" w:cstheme="minorBidi"/>
          <w:noProof/>
          <w:sz w:val="22"/>
          <w:szCs w:val="22"/>
        </w:rPr>
      </w:pPr>
      <w:r>
        <w:fldChar w:fldCharType="begin"/>
      </w:r>
      <w:r>
        <w:instrText xml:space="preserve"> TOC \h \z \c "Table" </w:instrText>
      </w:r>
      <w:r>
        <w:fldChar w:fldCharType="separate"/>
      </w:r>
      <w:hyperlink w:anchor="_Toc86727547" w:history="1">
        <w:r w:rsidR="00C97C0E" w:rsidRPr="004B321A">
          <w:rPr>
            <w:rStyle w:val="Hyperlink"/>
            <w:rFonts w:eastAsiaTheme="majorEastAsia"/>
            <w:noProof/>
          </w:rPr>
          <w:t>Table 1: State Procurement Targets for Key Technologies</w:t>
        </w:r>
        <w:r w:rsidR="00C97C0E">
          <w:rPr>
            <w:noProof/>
            <w:webHidden/>
          </w:rPr>
          <w:tab/>
        </w:r>
        <w:r w:rsidR="00C97C0E">
          <w:rPr>
            <w:noProof/>
            <w:webHidden/>
          </w:rPr>
          <w:fldChar w:fldCharType="begin"/>
        </w:r>
        <w:r w:rsidR="00C97C0E">
          <w:rPr>
            <w:noProof/>
            <w:webHidden/>
          </w:rPr>
          <w:instrText xml:space="preserve"> PAGEREF _Toc86727547 \h </w:instrText>
        </w:r>
        <w:r w:rsidR="00C97C0E">
          <w:rPr>
            <w:noProof/>
            <w:webHidden/>
          </w:rPr>
        </w:r>
        <w:r w:rsidR="00C97C0E">
          <w:rPr>
            <w:noProof/>
            <w:webHidden/>
          </w:rPr>
          <w:fldChar w:fldCharType="separate"/>
        </w:r>
        <w:r w:rsidR="00C97C0E">
          <w:rPr>
            <w:noProof/>
            <w:webHidden/>
          </w:rPr>
          <w:t>14</w:t>
        </w:r>
        <w:r w:rsidR="00C97C0E">
          <w:rPr>
            <w:noProof/>
            <w:webHidden/>
          </w:rPr>
          <w:fldChar w:fldCharType="end"/>
        </w:r>
      </w:hyperlink>
    </w:p>
    <w:p w14:paraId="0FEB080A" w14:textId="3F2B6CE3" w:rsidR="00C97C0E" w:rsidRDefault="00B32DE0">
      <w:pPr>
        <w:pStyle w:val="TableofFigures"/>
        <w:tabs>
          <w:tab w:val="right" w:leader="dot" w:pos="9350"/>
        </w:tabs>
        <w:rPr>
          <w:rFonts w:asciiTheme="minorHAnsi" w:eastAsiaTheme="minorEastAsia" w:hAnsiTheme="minorHAnsi" w:cstheme="minorBidi"/>
          <w:noProof/>
          <w:sz w:val="22"/>
          <w:szCs w:val="22"/>
        </w:rPr>
      </w:pPr>
      <w:hyperlink w:anchor="_Toc86727548" w:history="1">
        <w:r w:rsidR="00C97C0E" w:rsidRPr="004B321A">
          <w:rPr>
            <w:rStyle w:val="Hyperlink"/>
            <w:rFonts w:eastAsiaTheme="majorEastAsia"/>
            <w:noProof/>
          </w:rPr>
          <w:t>Table 2:  Fitch Ratings Guidance regarding Indicative Coverage Ratios</w:t>
        </w:r>
        <w:r w:rsidR="00C97C0E">
          <w:rPr>
            <w:noProof/>
            <w:webHidden/>
          </w:rPr>
          <w:tab/>
        </w:r>
        <w:r w:rsidR="00C97C0E">
          <w:rPr>
            <w:noProof/>
            <w:webHidden/>
          </w:rPr>
          <w:fldChar w:fldCharType="begin"/>
        </w:r>
        <w:r w:rsidR="00C97C0E">
          <w:rPr>
            <w:noProof/>
            <w:webHidden/>
          </w:rPr>
          <w:instrText xml:space="preserve"> PAGEREF _Toc86727548 \h </w:instrText>
        </w:r>
        <w:r w:rsidR="00C97C0E">
          <w:rPr>
            <w:noProof/>
            <w:webHidden/>
          </w:rPr>
        </w:r>
        <w:r w:rsidR="00C97C0E">
          <w:rPr>
            <w:noProof/>
            <w:webHidden/>
          </w:rPr>
          <w:fldChar w:fldCharType="separate"/>
        </w:r>
        <w:r w:rsidR="00C97C0E">
          <w:rPr>
            <w:noProof/>
            <w:webHidden/>
          </w:rPr>
          <w:t>20</w:t>
        </w:r>
        <w:r w:rsidR="00C97C0E">
          <w:rPr>
            <w:noProof/>
            <w:webHidden/>
          </w:rPr>
          <w:fldChar w:fldCharType="end"/>
        </w:r>
      </w:hyperlink>
    </w:p>
    <w:p w14:paraId="46A00F92" w14:textId="38D1F4BF" w:rsidR="00C97C0E" w:rsidRDefault="00B32DE0">
      <w:pPr>
        <w:pStyle w:val="TableofFigures"/>
        <w:tabs>
          <w:tab w:val="right" w:leader="dot" w:pos="9350"/>
        </w:tabs>
        <w:rPr>
          <w:rFonts w:asciiTheme="minorHAnsi" w:eastAsiaTheme="minorEastAsia" w:hAnsiTheme="minorHAnsi" w:cstheme="minorBidi"/>
          <w:noProof/>
          <w:sz w:val="22"/>
          <w:szCs w:val="22"/>
        </w:rPr>
      </w:pPr>
      <w:hyperlink w:anchor="_Toc86727549" w:history="1">
        <w:r w:rsidR="00C97C0E" w:rsidRPr="004B321A">
          <w:rPr>
            <w:rStyle w:val="Hyperlink"/>
            <w:rFonts w:eastAsiaTheme="majorEastAsia"/>
            <w:noProof/>
          </w:rPr>
          <w:t>Table 3: Illustrative Calculation of DSCR in the MOPR and No MOPR Rating Cases</w:t>
        </w:r>
        <w:r w:rsidR="00C97C0E">
          <w:rPr>
            <w:noProof/>
            <w:webHidden/>
          </w:rPr>
          <w:tab/>
        </w:r>
        <w:r w:rsidR="00C97C0E">
          <w:rPr>
            <w:noProof/>
            <w:webHidden/>
          </w:rPr>
          <w:fldChar w:fldCharType="begin"/>
        </w:r>
        <w:r w:rsidR="00C97C0E">
          <w:rPr>
            <w:noProof/>
            <w:webHidden/>
          </w:rPr>
          <w:instrText xml:space="preserve"> PAGEREF _Toc86727549 \h </w:instrText>
        </w:r>
        <w:r w:rsidR="00C97C0E">
          <w:rPr>
            <w:noProof/>
            <w:webHidden/>
          </w:rPr>
        </w:r>
        <w:r w:rsidR="00C97C0E">
          <w:rPr>
            <w:noProof/>
            <w:webHidden/>
          </w:rPr>
          <w:fldChar w:fldCharType="separate"/>
        </w:r>
        <w:r w:rsidR="00C97C0E">
          <w:rPr>
            <w:noProof/>
            <w:webHidden/>
          </w:rPr>
          <w:t>23</w:t>
        </w:r>
        <w:r w:rsidR="00C97C0E">
          <w:rPr>
            <w:noProof/>
            <w:webHidden/>
          </w:rPr>
          <w:fldChar w:fldCharType="end"/>
        </w:r>
      </w:hyperlink>
    </w:p>
    <w:p w14:paraId="058226C4" w14:textId="199EBE1F" w:rsidR="00C97C0E" w:rsidRDefault="00B32DE0">
      <w:pPr>
        <w:pStyle w:val="TableofFigures"/>
        <w:tabs>
          <w:tab w:val="right" w:leader="dot" w:pos="9350"/>
        </w:tabs>
        <w:rPr>
          <w:rFonts w:asciiTheme="minorHAnsi" w:eastAsiaTheme="minorEastAsia" w:hAnsiTheme="minorHAnsi" w:cstheme="minorBidi"/>
          <w:noProof/>
          <w:sz w:val="22"/>
          <w:szCs w:val="22"/>
        </w:rPr>
      </w:pPr>
      <w:hyperlink w:anchor="_Toc86727550" w:history="1">
        <w:r w:rsidR="00C97C0E" w:rsidRPr="004B321A">
          <w:rPr>
            <w:rStyle w:val="Hyperlink"/>
            <w:rFonts w:eastAsiaTheme="majorEastAsia"/>
            <w:noProof/>
          </w:rPr>
          <w:t>Table 4</w:t>
        </w:r>
        <w:r w:rsidR="00C97C0E" w:rsidRPr="004B321A">
          <w:rPr>
            <w:rStyle w:val="Hyperlink"/>
            <w:rFonts w:eastAsiaTheme="majorEastAsia"/>
            <w:noProof/>
            <w:lang w:eastAsia="zh-CN"/>
          </w:rPr>
          <w:t>: DSCRs in Base and Rating Case</w:t>
        </w:r>
        <w:r w:rsidR="00C97C0E">
          <w:rPr>
            <w:noProof/>
            <w:webHidden/>
          </w:rPr>
          <w:tab/>
        </w:r>
        <w:r w:rsidR="00C97C0E">
          <w:rPr>
            <w:noProof/>
            <w:webHidden/>
          </w:rPr>
          <w:fldChar w:fldCharType="begin"/>
        </w:r>
        <w:r w:rsidR="00C97C0E">
          <w:rPr>
            <w:noProof/>
            <w:webHidden/>
          </w:rPr>
          <w:instrText xml:space="preserve"> PAGEREF _Toc86727550 \h </w:instrText>
        </w:r>
        <w:r w:rsidR="00C97C0E">
          <w:rPr>
            <w:noProof/>
            <w:webHidden/>
          </w:rPr>
        </w:r>
        <w:r w:rsidR="00C97C0E">
          <w:rPr>
            <w:noProof/>
            <w:webHidden/>
          </w:rPr>
          <w:fldChar w:fldCharType="separate"/>
        </w:r>
        <w:r w:rsidR="00C97C0E">
          <w:rPr>
            <w:noProof/>
            <w:webHidden/>
          </w:rPr>
          <w:t>48</w:t>
        </w:r>
        <w:r w:rsidR="00C97C0E">
          <w:rPr>
            <w:noProof/>
            <w:webHidden/>
          </w:rPr>
          <w:fldChar w:fldCharType="end"/>
        </w:r>
      </w:hyperlink>
    </w:p>
    <w:p w14:paraId="16454CEA" w14:textId="5304AD34" w:rsidR="00266EF5" w:rsidRPr="00266EF5" w:rsidRDefault="008F182A" w:rsidP="00266EF5">
      <w:pPr>
        <w:pStyle w:val="TableofFigures"/>
        <w:sectPr w:rsidR="00266EF5" w:rsidRPr="00266EF5" w:rsidSect="003011BC">
          <w:headerReference w:type="default" r:id="rId17"/>
          <w:type w:val="oddPage"/>
          <w:pgSz w:w="12240" w:h="15840" w:code="1"/>
          <w:pgMar w:top="1440" w:right="1440" w:bottom="1440" w:left="1440" w:header="720" w:footer="720" w:gutter="0"/>
          <w:pgNumType w:fmt="lowerRoman" w:start="1"/>
          <w:cols w:space="720"/>
          <w:docGrid w:linePitch="360"/>
        </w:sectPr>
      </w:pPr>
      <w:r>
        <w:rPr>
          <w:b/>
          <w:bCs/>
          <w:noProof/>
        </w:rPr>
        <w:fldChar w:fldCharType="end"/>
      </w:r>
      <w:r w:rsidR="006103BB" w:rsidDel="00573257">
        <w:t xml:space="preserve"> </w:t>
      </w:r>
      <w:bookmarkStart w:id="1" w:name="_Toc320279968"/>
      <w:bookmarkStart w:id="2" w:name="_Toc321139829"/>
      <w:bookmarkStart w:id="3" w:name="_Toc320279794"/>
      <w:bookmarkStart w:id="4" w:name="_Toc321200547"/>
      <w:bookmarkStart w:id="5" w:name="_Ref57197337"/>
      <w:bookmarkStart w:id="6" w:name="_Toc62631827"/>
      <w:bookmarkStart w:id="7" w:name="_Toc168474073"/>
      <w:bookmarkStart w:id="8" w:name="_Toc208224190"/>
      <w:bookmarkStart w:id="9" w:name="_Toc300032795"/>
      <w:bookmarkStart w:id="10" w:name="_Ref479023164"/>
      <w:bookmarkStart w:id="11" w:name="_Ref479023168"/>
      <w:bookmarkStart w:id="12" w:name="_Ref479023170"/>
      <w:bookmarkStart w:id="13" w:name="_Ref479023174"/>
      <w:bookmarkStart w:id="14" w:name="_Ref482885661"/>
    </w:p>
    <w:p w14:paraId="6A15C7AD" w14:textId="479D885C" w:rsidR="0003581F" w:rsidRDefault="0003581F" w:rsidP="009A6FCC">
      <w:pPr>
        <w:pStyle w:val="rptexecsummheading1"/>
        <w:rPr>
          <w:rFonts w:hint="eastAsia"/>
        </w:rPr>
      </w:pPr>
      <w:bookmarkStart w:id="15" w:name="_Toc86419514"/>
      <w:bookmarkStart w:id="16" w:name="_Toc513650880"/>
      <w:bookmarkStart w:id="17" w:name="_Toc482132112"/>
      <w:bookmarkEnd w:id="1"/>
      <w:bookmarkEnd w:id="2"/>
      <w:bookmarkEnd w:id="3"/>
      <w:bookmarkEnd w:id="4"/>
      <w:bookmarkEnd w:id="5"/>
      <w:bookmarkEnd w:id="6"/>
      <w:bookmarkEnd w:id="7"/>
      <w:bookmarkEnd w:id="8"/>
      <w:bookmarkEnd w:id="9"/>
      <w:bookmarkEnd w:id="10"/>
      <w:bookmarkEnd w:id="11"/>
      <w:bookmarkEnd w:id="12"/>
      <w:bookmarkEnd w:id="13"/>
      <w:bookmarkEnd w:id="14"/>
      <w:r>
        <w:lastRenderedPageBreak/>
        <w:t>Preface</w:t>
      </w:r>
      <w:bookmarkEnd w:id="15"/>
    </w:p>
    <w:p w14:paraId="15D86E3F" w14:textId="7088904B" w:rsidR="0003581F" w:rsidRDefault="0003581F" w:rsidP="0003581F">
      <w:pPr>
        <w:pStyle w:val="rptmainbodytext"/>
      </w:pPr>
      <w:r>
        <w:t>Potomac Economics serves as the External Market Monitor for ISO-NE.  In this role, we are responsible for evaluating the competitive performance, design, and operation of the wholesale electricity markets operated by ISO-NE.</w:t>
      </w:r>
      <w:r>
        <w:rPr>
          <w:rStyle w:val="FootnoteReference"/>
        </w:rPr>
        <w:footnoteReference w:id="2"/>
      </w:r>
      <w:r>
        <w:t xml:space="preserve">  In this </w:t>
      </w:r>
      <w:r w:rsidR="00D17872">
        <w:t>report</w:t>
      </w:r>
      <w:r>
        <w:t xml:space="preserve">, we </w:t>
      </w:r>
      <w:r w:rsidR="00FE2EE8">
        <w:t xml:space="preserve">provide our </w:t>
      </w:r>
      <w:r w:rsidR="00D93375">
        <w:t>evaluat</w:t>
      </w:r>
      <w:r w:rsidR="00FE2EE8">
        <w:t>ion of</w:t>
      </w:r>
      <w:r w:rsidR="00D93375">
        <w:t xml:space="preserve"> the impact of eliminating MOPR</w:t>
      </w:r>
      <w:r w:rsidR="00FE2EE8">
        <w:t xml:space="preserve"> on the financial risk and how certain market parameters need to be adjusted to </w:t>
      </w:r>
      <w:r w:rsidR="00185598">
        <w:t>provide the required incentives to merchant investors</w:t>
      </w:r>
      <w:r>
        <w:t xml:space="preserve">.  </w:t>
      </w:r>
    </w:p>
    <w:p w14:paraId="29CADCDA" w14:textId="1D4DBFDC" w:rsidR="00A346A0" w:rsidRDefault="00CD2E1F" w:rsidP="00A346A0">
      <w:pPr>
        <w:pStyle w:val="rptmainbodytext"/>
      </w:pPr>
      <w:r>
        <w:t>The princip</w:t>
      </w:r>
      <w:r w:rsidR="00246A7C">
        <w:t>a</w:t>
      </w:r>
      <w:r>
        <w:t>l authors of this report are:</w:t>
      </w:r>
      <w:r w:rsidR="00A346A0">
        <w:t xml:space="preserve"> </w:t>
      </w:r>
    </w:p>
    <w:p w14:paraId="34208784" w14:textId="42147911" w:rsidR="00A346A0" w:rsidRDefault="00A346A0" w:rsidP="005574D9">
      <w:pPr>
        <w:pStyle w:val="rptmainbodytext"/>
        <w:spacing w:before="0"/>
        <w:ind w:firstLine="720"/>
      </w:pPr>
      <w:r>
        <w:t>David B. Patton, Ph.D.</w:t>
      </w:r>
    </w:p>
    <w:p w14:paraId="5EFBA90B" w14:textId="2D0B4777" w:rsidR="00A346A0" w:rsidRDefault="00A346A0" w:rsidP="005574D9">
      <w:pPr>
        <w:pStyle w:val="rptmainbodytext"/>
        <w:spacing w:before="0"/>
        <w:ind w:firstLine="720"/>
      </w:pPr>
      <w:r>
        <w:t>Pallas LeeVanSchaick, Ph.D.</w:t>
      </w:r>
      <w:r w:rsidR="00D17872">
        <w:t>, and</w:t>
      </w:r>
    </w:p>
    <w:p w14:paraId="7B38525E" w14:textId="267569B4" w:rsidR="002E5F51" w:rsidRPr="00D17872" w:rsidRDefault="00A346A0" w:rsidP="00D17872">
      <w:pPr>
        <w:pStyle w:val="rptmainbodytext"/>
        <w:spacing w:before="0"/>
        <w:ind w:firstLine="720"/>
        <w:sectPr w:rsidR="002E5F51" w:rsidRPr="00D17872" w:rsidSect="003011BC">
          <w:headerReference w:type="default" r:id="rId18"/>
          <w:type w:val="oddPage"/>
          <w:pgSz w:w="12240" w:h="15840" w:code="1"/>
          <w:pgMar w:top="1440" w:right="1440" w:bottom="1440" w:left="1440" w:header="720" w:footer="720" w:gutter="0"/>
          <w:pgNumType w:fmt="lowerRoman"/>
          <w:cols w:space="720"/>
          <w:docGrid w:linePitch="360"/>
        </w:sectPr>
      </w:pPr>
      <w:r w:rsidRPr="00D17872">
        <w:t>Raghu Palavadi Naga</w:t>
      </w:r>
    </w:p>
    <w:p w14:paraId="7719A9B7" w14:textId="77777777" w:rsidR="00684B29" w:rsidRDefault="00684B29" w:rsidP="00343008">
      <w:pPr>
        <w:pStyle w:val="rptexecsummheading1"/>
        <w:rPr>
          <w:rFonts w:hint="eastAsia"/>
        </w:rPr>
      </w:pPr>
      <w:bookmarkStart w:id="18" w:name="_Toc86419515"/>
      <w:r>
        <w:lastRenderedPageBreak/>
        <w:t>Executive Summary</w:t>
      </w:r>
      <w:bookmarkEnd w:id="18"/>
    </w:p>
    <w:p w14:paraId="6112EF98" w14:textId="1B6BD67F" w:rsidR="009F46BC" w:rsidRDefault="007E31F7" w:rsidP="00B2489D">
      <w:pPr>
        <w:pStyle w:val="rptexecsummtext"/>
      </w:pPr>
      <w:bookmarkStart w:id="19" w:name="_Toc482132113"/>
      <w:bookmarkStart w:id="20" w:name="_Toc321136190"/>
      <w:bookmarkStart w:id="21" w:name="_Toc321137037"/>
      <w:bookmarkStart w:id="22" w:name="_Toc321137135"/>
      <w:bookmarkStart w:id="23" w:name="_Toc321137222"/>
      <w:bookmarkStart w:id="24" w:name="_Toc321137320"/>
      <w:bookmarkStart w:id="25" w:name="_Toc321137418"/>
      <w:bookmarkStart w:id="26" w:name="_Toc321137815"/>
      <w:bookmarkStart w:id="27" w:name="_Toc321137911"/>
      <w:bookmarkStart w:id="28" w:name="_Toc321138241"/>
      <w:bookmarkStart w:id="29" w:name="_Toc321138336"/>
      <w:bookmarkStart w:id="30" w:name="_Toc321138435"/>
      <w:bookmarkStart w:id="31" w:name="_Toc321138530"/>
      <w:bookmarkStart w:id="32" w:name="_Toc321138623"/>
      <w:bookmarkStart w:id="33" w:name="_Toc321138722"/>
      <w:bookmarkStart w:id="34" w:name="_Toc321138813"/>
      <w:bookmarkStart w:id="35" w:name="_Toc321139764"/>
      <w:bookmarkStart w:id="36" w:name="_Toc321139855"/>
      <w:bookmarkStart w:id="37" w:name="_Toc321143512"/>
      <w:bookmarkStart w:id="38" w:name="_Toc321144252"/>
      <w:bookmarkStart w:id="39" w:name="_Toc321144845"/>
      <w:bookmarkStart w:id="40" w:name="_Toc321145030"/>
      <w:bookmarkStart w:id="41" w:name="_Toc321145403"/>
      <w:bookmarkStart w:id="42" w:name="_Toc321146666"/>
      <w:bookmarkStart w:id="43" w:name="_Toc321148041"/>
      <w:bookmarkStart w:id="44" w:name="_Toc321200434"/>
      <w:bookmarkStart w:id="45" w:name="_Toc321200573"/>
      <w:bookmarkStart w:id="46" w:name="_Toc321201159"/>
      <w:bookmarkStart w:id="47" w:name="_Toc321201412"/>
      <w:bookmarkStart w:id="48" w:name="_Toc321258887"/>
      <w:bookmarkStart w:id="49" w:name="_Toc321408872"/>
      <w:bookmarkStart w:id="50" w:name="_Toc321408976"/>
      <w:bookmarkStart w:id="51" w:name="_Toc321409069"/>
      <w:bookmarkEnd w:id="19"/>
      <w:bookmarkEnd w:id="20"/>
      <w:bookmarkEnd w:id="21"/>
      <w:bookmarkEnd w:id="22"/>
      <w:bookmarkEnd w:id="23"/>
      <w:bookmarkEnd w:id="24"/>
      <w:bookmarkEnd w:id="25"/>
      <w:bookmarkEnd w:id="26"/>
      <w:bookmarkEnd w:id="27"/>
      <w:bookmarkEnd w:id="28"/>
      <w:bookmarkEnd w:id="29"/>
      <w:bookmarkEnd w:id="30"/>
      <w:bookmarkEnd w:id="31"/>
      <w:bookmarkEnd w:id="32"/>
      <w:bookmarkEnd w:id="33"/>
      <w:bookmarkEnd w:id="34"/>
      <w:bookmarkEnd w:id="35"/>
      <w:bookmarkEnd w:id="36"/>
      <w:bookmarkEnd w:id="37"/>
      <w:bookmarkEnd w:id="38"/>
      <w:bookmarkEnd w:id="39"/>
      <w:bookmarkEnd w:id="40"/>
      <w:bookmarkEnd w:id="41"/>
      <w:bookmarkEnd w:id="42"/>
      <w:bookmarkEnd w:id="43"/>
      <w:bookmarkEnd w:id="44"/>
      <w:bookmarkEnd w:id="45"/>
      <w:bookmarkEnd w:id="46"/>
      <w:bookmarkEnd w:id="47"/>
      <w:bookmarkEnd w:id="48"/>
      <w:bookmarkEnd w:id="49"/>
      <w:bookmarkEnd w:id="50"/>
      <w:bookmarkEnd w:id="51"/>
      <w:r>
        <w:t xml:space="preserve">ISO-NE is working with its stakeholders to eliminate or modify the </w:t>
      </w:r>
      <w:r w:rsidR="000B4C77">
        <w:t>Minimum Offer Pricing Rule (“</w:t>
      </w:r>
      <w:r>
        <w:t>MOPR</w:t>
      </w:r>
      <w:r w:rsidR="000B4C77">
        <w:t>”)</w:t>
      </w:r>
      <w:r>
        <w:t xml:space="preserve"> in time for </w:t>
      </w:r>
      <w:r w:rsidR="000B4C77">
        <w:t xml:space="preserve">the Forward Capacity Auction </w:t>
      </w:r>
      <w:r w:rsidR="00364954">
        <w:t>17 (“</w:t>
      </w:r>
      <w:r>
        <w:t>FCA-17</w:t>
      </w:r>
      <w:r w:rsidR="00364954">
        <w:t>”)</w:t>
      </w:r>
      <w:r>
        <w:t xml:space="preserve">.  </w:t>
      </w:r>
      <w:r w:rsidR="000C5C3E">
        <w:t xml:space="preserve">Eliminating MOPR </w:t>
      </w:r>
      <w:r w:rsidR="00ED532D">
        <w:t>w</w:t>
      </w:r>
      <w:r w:rsidR="000C5C3E">
        <w:t>ould lower the barriers to participation in capacity markets by resources that are supported by the New England states.  However, a</w:t>
      </w:r>
      <w:r w:rsidR="00AF3AC1">
        <w:t>n important consequence of eliminating the MOPR is an increase in the financial risk for merchant resource</w:t>
      </w:r>
      <w:r w:rsidR="00F05A53">
        <w:t xml:space="preserve"> owner</w:t>
      </w:r>
      <w:r w:rsidR="00AF3AC1">
        <w:t xml:space="preserve">s.  The ISO requested the EMM evaluate this risk and how it can be accounted for in the market.  </w:t>
      </w:r>
      <w:r w:rsidR="009F46BC">
        <w:t xml:space="preserve">This report describes our assessment of the increase in the financial risk to merchant investors </w:t>
      </w:r>
      <w:r w:rsidR="00E30CC0">
        <w:t>if</w:t>
      </w:r>
      <w:r w:rsidR="009F46BC">
        <w:t xml:space="preserve"> the </w:t>
      </w:r>
      <w:r w:rsidR="00E30CC0">
        <w:t>MOPR is</w:t>
      </w:r>
      <w:r w:rsidR="009F46BC">
        <w:t xml:space="preserve"> eliminat</w:t>
      </w:r>
      <w:r w:rsidR="00E30CC0">
        <w:t>ed</w:t>
      </w:r>
      <w:r w:rsidR="009F46BC">
        <w:t>.</w:t>
      </w:r>
    </w:p>
    <w:p w14:paraId="641BD896" w14:textId="13108C0C" w:rsidR="0037380F" w:rsidRDefault="00F11CF8" w:rsidP="00810A16">
      <w:pPr>
        <w:pStyle w:val="rptexecsummtext"/>
      </w:pPr>
      <w:r>
        <w:t xml:space="preserve">The capacity market is designed to provide efficient incentives for the investment needed to satisfy resource adequacy needs.  </w:t>
      </w:r>
      <w:r w:rsidR="00E37ED1">
        <w:t xml:space="preserve">In other words, as </w:t>
      </w:r>
      <w:r w:rsidR="00D05122">
        <w:t xml:space="preserve">capacity margins fall and new investment is needed to satisfy </w:t>
      </w:r>
      <w:r w:rsidR="00D44E96">
        <w:t>New England</w:t>
      </w:r>
      <w:r w:rsidR="00FC32EF">
        <w:t xml:space="preserve">’s </w:t>
      </w:r>
      <w:r w:rsidR="00856047">
        <w:t xml:space="preserve">resource adequacy </w:t>
      </w:r>
      <w:r w:rsidR="00CB7EA3">
        <w:t xml:space="preserve">requirements, an investor must find it attractive to invest in </w:t>
      </w:r>
      <w:r w:rsidR="002202F3">
        <w:t>a new resource.</w:t>
      </w:r>
      <w:r w:rsidR="00387D0F">
        <w:t xml:space="preserve">  </w:t>
      </w:r>
      <w:r w:rsidR="007E4E64">
        <w:t>This requ</w:t>
      </w:r>
      <w:r w:rsidR="0084774C">
        <w:t xml:space="preserve">ires that </w:t>
      </w:r>
      <w:r w:rsidR="009373DB">
        <w:t xml:space="preserve">the investor expect future </w:t>
      </w:r>
      <w:r w:rsidR="00542154">
        <w:t xml:space="preserve">capacity </w:t>
      </w:r>
      <w:r w:rsidR="009373DB">
        <w:t xml:space="preserve">revenues to </w:t>
      </w:r>
      <w:r w:rsidR="00802314">
        <w:t>cover its</w:t>
      </w:r>
      <w:r w:rsidR="00542154">
        <w:t xml:space="preserve"> “Cost of New Entry” less revenues expected from the energy and ancillary services markets (i.e., “net CONE)</w:t>
      </w:r>
      <w:r w:rsidR="002B4C02">
        <w:t>.</w:t>
      </w:r>
      <w:r w:rsidR="0085443C">
        <w:t xml:space="preserve"> </w:t>
      </w:r>
      <w:r w:rsidR="00C807E3">
        <w:t xml:space="preserve"> As the volatility of future capacity revenues increase, </w:t>
      </w:r>
      <w:r w:rsidR="008B0FD7">
        <w:t xml:space="preserve">the </w:t>
      </w:r>
      <w:r w:rsidR="00E5621C">
        <w:t>risk facing the investor and its net CONE increase.</w:t>
      </w:r>
    </w:p>
    <w:p w14:paraId="09256699" w14:textId="398884F6" w:rsidR="00810A16" w:rsidRDefault="00BD70A6" w:rsidP="00810A16">
      <w:pPr>
        <w:pStyle w:val="rptexecsummtext"/>
      </w:pPr>
      <w:r>
        <w:t xml:space="preserve">One key factor that </w:t>
      </w:r>
      <w:r w:rsidR="000A18B7">
        <w:t xml:space="preserve">increases future revenue volatility and risk is </w:t>
      </w:r>
      <w:r w:rsidR="006F6D10">
        <w:t xml:space="preserve">out-of-market investment </w:t>
      </w:r>
      <w:r w:rsidR="003D7FAA">
        <w:t xml:space="preserve">in resources are subsidized </w:t>
      </w:r>
      <w:r w:rsidR="00E56146">
        <w:t xml:space="preserve">and result in </w:t>
      </w:r>
      <w:r w:rsidR="0097399B">
        <w:t>a capacity surplus.</w:t>
      </w:r>
      <w:r w:rsidR="00827548">
        <w:t xml:space="preserve">  Large quantities of </w:t>
      </w:r>
      <w:r w:rsidR="007641B0">
        <w:t xml:space="preserve">such investments are planned by various states in New England to achieve decarbonization goals.  </w:t>
      </w:r>
      <w:r w:rsidR="00810A16">
        <w:t xml:space="preserve">The status quo MOPR </w:t>
      </w:r>
      <w:r w:rsidR="00B81439">
        <w:t>moderates</w:t>
      </w:r>
      <w:r w:rsidR="00810A16">
        <w:t xml:space="preserve"> the price effects</w:t>
      </w:r>
      <w:r w:rsidR="007641B0">
        <w:t xml:space="preserve"> of such investment, reducing the associated risks </w:t>
      </w:r>
      <w:r w:rsidR="005D61A1">
        <w:t xml:space="preserve">to private investors in </w:t>
      </w:r>
      <w:r w:rsidR="002D3FAF">
        <w:t>new resources</w:t>
      </w:r>
      <w:r w:rsidR="00810A16">
        <w:t xml:space="preserve">.  Accordingly, elimination of the MOPR provisions is likely to increase the risk </w:t>
      </w:r>
      <w:r w:rsidR="00250869">
        <w:t xml:space="preserve">facing </w:t>
      </w:r>
      <w:r w:rsidR="00944DD3">
        <w:t xml:space="preserve">merchant </w:t>
      </w:r>
      <w:r w:rsidR="00810A16">
        <w:t>invest</w:t>
      </w:r>
      <w:r w:rsidR="00944DD3">
        <w:t>ment</w:t>
      </w:r>
      <w:r w:rsidR="00810A16">
        <w:t xml:space="preserve"> in New England.</w:t>
      </w:r>
      <w:r w:rsidR="009D3661">
        <w:t xml:space="preserve">  The purpose of this study is to recommend </w:t>
      </w:r>
      <w:r w:rsidR="00317BE4">
        <w:t xml:space="preserve">a change in the capacity market </w:t>
      </w:r>
      <w:r w:rsidR="00345148">
        <w:t>to account for this increased risk.</w:t>
      </w:r>
    </w:p>
    <w:p w14:paraId="0D7A41BC" w14:textId="0643D981" w:rsidR="009E2102" w:rsidRDefault="009E2102" w:rsidP="00B2489D">
      <w:pPr>
        <w:pStyle w:val="rptexecsummtext"/>
      </w:pPr>
      <w:r>
        <w:t xml:space="preserve">Higher financial risk affects key parameters </w:t>
      </w:r>
      <w:r w:rsidR="007939F0">
        <w:t xml:space="preserve">that are </w:t>
      </w:r>
      <w:r>
        <w:t xml:space="preserve">used to determine the </w:t>
      </w:r>
      <w:r w:rsidR="00423268">
        <w:t xml:space="preserve">sloped </w:t>
      </w:r>
      <w:r w:rsidR="001D6B5B">
        <w:t xml:space="preserve">capacity </w:t>
      </w:r>
      <w:r>
        <w:t>demand curves</w:t>
      </w:r>
      <w:r w:rsidR="003174C4">
        <w:t>.  T</w:t>
      </w:r>
      <w:r w:rsidR="00CD0EC0">
        <w:t xml:space="preserve">he </w:t>
      </w:r>
      <w:r w:rsidR="00423268">
        <w:t xml:space="preserve">height of the demand curve </w:t>
      </w:r>
      <w:r w:rsidR="00CD0EC0" w:rsidRPr="00CD0EC0">
        <w:t xml:space="preserve">depends on the Net CONE of a generic potential new entrant.  The height is set to motivate investment needed to achieve a target level of reliability.  </w:t>
      </w:r>
      <w:r w:rsidR="00832BA7">
        <w:t>H</w:t>
      </w:r>
      <w:r w:rsidR="00CD0EC0" w:rsidRPr="00CD0EC0">
        <w:t>igher price volatility increases investment risk, which raises the cost of capital</w:t>
      </w:r>
      <w:r w:rsidR="0088166B">
        <w:t>.  C</w:t>
      </w:r>
      <w:r w:rsidR="00CD0EC0" w:rsidRPr="00CD0EC0">
        <w:t xml:space="preserve">onsequently, </w:t>
      </w:r>
      <w:r w:rsidR="00BC1B08">
        <w:t xml:space="preserve">the </w:t>
      </w:r>
      <w:r w:rsidR="00CD0EC0" w:rsidRPr="00CD0EC0">
        <w:t>Net CONE</w:t>
      </w:r>
      <w:r w:rsidR="0088166B">
        <w:t xml:space="preserve"> of the </w:t>
      </w:r>
      <w:r w:rsidR="004959C2">
        <w:t>reference unit increase</w:t>
      </w:r>
      <w:r w:rsidR="004D09AC">
        <w:t>s</w:t>
      </w:r>
      <w:r w:rsidR="004959C2">
        <w:t xml:space="preserve"> as price volatility increases</w:t>
      </w:r>
      <w:r w:rsidR="00CD0EC0" w:rsidRPr="00CD0EC0">
        <w:t>.</w:t>
      </w:r>
    </w:p>
    <w:p w14:paraId="1EE87DFB" w14:textId="0E7F6B07" w:rsidR="00F6317F" w:rsidRDefault="00F6317F" w:rsidP="00AD6367">
      <w:pPr>
        <w:pStyle w:val="rptexecsummtext"/>
      </w:pPr>
      <w:r w:rsidRPr="00F6317F">
        <w:t xml:space="preserve">Recent CONE studies have estimated the </w:t>
      </w:r>
      <w:r w:rsidR="00B1755F">
        <w:t xml:space="preserve">cost of capital </w:t>
      </w:r>
      <w:r w:rsidRPr="00F6317F">
        <w:t xml:space="preserve">of a new entrant based on a review of historical returns required by investors in power generation assets operating in regions with competitive wholesale markets.  Each of these markets is either in a state jurisdiction with limited policy intervention or has limited the price effects of subsidized entry with a MOPR.  </w:t>
      </w:r>
      <w:r w:rsidR="00616727">
        <w:t>Hence, t</w:t>
      </w:r>
      <w:r w:rsidRPr="00F6317F">
        <w:t xml:space="preserve">he available historic data </w:t>
      </w:r>
      <w:r w:rsidR="00AD072D">
        <w:t>does not</w:t>
      </w:r>
      <w:r w:rsidRPr="00F6317F">
        <w:t xml:space="preserve"> </w:t>
      </w:r>
      <w:r w:rsidR="003154EE">
        <w:t xml:space="preserve">reflect the returns an investor would expect in </w:t>
      </w:r>
      <w:r w:rsidRPr="00F6317F">
        <w:t xml:space="preserve">a competitive power market without a MOPR </w:t>
      </w:r>
      <w:r w:rsidR="00DE650D">
        <w:t xml:space="preserve">and </w:t>
      </w:r>
      <w:r w:rsidRPr="00F6317F">
        <w:t xml:space="preserve">high levels of policy-driven investment.  Hence, </w:t>
      </w:r>
      <w:r w:rsidR="002C2411">
        <w:t>it is important to account</w:t>
      </w:r>
      <w:r w:rsidR="00987719">
        <w:t xml:space="preserve"> for the effects of </w:t>
      </w:r>
      <w:r w:rsidR="00F30A4D">
        <w:t>eliminating the</w:t>
      </w:r>
      <w:r w:rsidR="002F3078">
        <w:t xml:space="preserve"> MOPR provisions </w:t>
      </w:r>
      <w:r w:rsidR="00BC1A06">
        <w:t>o</w:t>
      </w:r>
      <w:r w:rsidR="001A2B5A">
        <w:t>n</w:t>
      </w:r>
      <w:r w:rsidRPr="00F6317F">
        <w:t xml:space="preserve"> the WACC.  </w:t>
      </w:r>
    </w:p>
    <w:p w14:paraId="4E4A76FF" w14:textId="2F9658C3" w:rsidR="002E2093" w:rsidRDefault="00354D6A" w:rsidP="00AD6367">
      <w:pPr>
        <w:pStyle w:val="rptexecsummtext"/>
      </w:pPr>
      <w:r>
        <w:lastRenderedPageBreak/>
        <w:t xml:space="preserve">To account for the </w:t>
      </w:r>
      <w:r w:rsidR="00D85281">
        <w:t xml:space="preserve">incremental </w:t>
      </w:r>
      <w:r>
        <w:t>effects</w:t>
      </w:r>
      <w:r w:rsidR="00D85281">
        <w:t xml:space="preserve"> of eliminating the MOPR provisions</w:t>
      </w:r>
      <w:r w:rsidR="00117B0E">
        <w:t xml:space="preserve"> on the WACC, we </w:t>
      </w:r>
      <w:r w:rsidR="00490DF6">
        <w:t>estimat</w:t>
      </w:r>
      <w:r w:rsidR="00117B0E">
        <w:t>e</w:t>
      </w:r>
      <w:r w:rsidR="00490DF6">
        <w:t xml:space="preserve"> </w:t>
      </w:r>
      <w:r w:rsidR="00AD6367">
        <w:t>the change in revenue volatility for the reference unit between the following two cases</w:t>
      </w:r>
      <w:r w:rsidR="007F64A0">
        <w:t xml:space="preserve"> under long-term equilibrium conditions</w:t>
      </w:r>
      <w:r w:rsidR="00AD6367">
        <w:t>:</w:t>
      </w:r>
      <w:r w:rsidR="002E2093">
        <w:rPr>
          <w:rStyle w:val="FootnoteReference"/>
        </w:rPr>
        <w:footnoteReference w:id="3"/>
      </w:r>
      <w:r w:rsidR="00AD6367">
        <w:t xml:space="preserve"> </w:t>
      </w:r>
    </w:p>
    <w:p w14:paraId="0FD0EB44" w14:textId="35D7F028" w:rsidR="002E2093" w:rsidRDefault="002E27F1" w:rsidP="00757155">
      <w:pPr>
        <w:pStyle w:val="rptexecsummbullets1"/>
      </w:pPr>
      <w:r>
        <w:t xml:space="preserve">Case 1: </w:t>
      </w:r>
      <w:r w:rsidR="009A78A3">
        <w:t>U</w:t>
      </w:r>
      <w:r w:rsidR="00AD6367">
        <w:t xml:space="preserve">nder the status quo MOPR rules, and </w:t>
      </w:r>
    </w:p>
    <w:p w14:paraId="58872D91" w14:textId="3824F4AA" w:rsidR="002E2093" w:rsidRDefault="002E27F1" w:rsidP="00757155">
      <w:pPr>
        <w:pStyle w:val="rptexecsummbullets1"/>
      </w:pPr>
      <w:r>
        <w:t xml:space="preserve">Case 2: </w:t>
      </w:r>
      <w:r w:rsidR="009A78A3">
        <w:t>A</w:t>
      </w:r>
      <w:r w:rsidR="00AD6367">
        <w:t xml:space="preserve">fter elimination of MOPR rules.  </w:t>
      </w:r>
    </w:p>
    <w:p w14:paraId="3F32B0F6" w14:textId="037A5F1B" w:rsidR="00D2342F" w:rsidRDefault="00AD6367" w:rsidP="001346FA">
      <w:pPr>
        <w:pStyle w:val="rptexecsummtext"/>
      </w:pPr>
      <w:r>
        <w:t xml:space="preserve">Monte Carlo techniques </w:t>
      </w:r>
      <w:r w:rsidR="00542EC4">
        <w:t>are used</w:t>
      </w:r>
      <w:r>
        <w:t xml:space="preserve"> to estimate the distribution of revenues for the reference unit in each of the two cases above.  Changes in the volatility of the revenue distribution</w:t>
      </w:r>
      <w:r w:rsidR="004963B9">
        <w:t xml:space="preserve">, as measured </w:t>
      </w:r>
      <w:r w:rsidR="00CE4BE7">
        <w:t xml:space="preserve">by </w:t>
      </w:r>
      <w:r w:rsidR="00B22053">
        <w:t xml:space="preserve">metrics such as </w:t>
      </w:r>
      <w:r w:rsidR="004963B9">
        <w:t xml:space="preserve">standard deviation and </w:t>
      </w:r>
      <w:r w:rsidR="006B0CF2">
        <w:t xml:space="preserve">financial </w:t>
      </w:r>
      <w:r w:rsidR="004963B9">
        <w:t>performance under downside market conditions,</w:t>
      </w:r>
      <w:r>
        <w:t xml:space="preserve"> </w:t>
      </w:r>
      <w:r w:rsidR="00601F92">
        <w:t xml:space="preserve">affect </w:t>
      </w:r>
      <w:r w:rsidR="00D25448">
        <w:t xml:space="preserve">investors’ </w:t>
      </w:r>
      <w:r w:rsidR="002E2093">
        <w:t>Cost of Equity (“</w:t>
      </w:r>
      <w:r>
        <w:t>COE</w:t>
      </w:r>
      <w:r w:rsidR="002E2093">
        <w:t>”)</w:t>
      </w:r>
      <w:r>
        <w:t xml:space="preserve"> and </w:t>
      </w:r>
      <w:r w:rsidR="002E2093">
        <w:t>Cost of Debt (“</w:t>
      </w:r>
      <w:r>
        <w:t>COD</w:t>
      </w:r>
      <w:r w:rsidR="002E2093">
        <w:t>”)</w:t>
      </w:r>
      <w:r>
        <w:t xml:space="preserve"> </w:t>
      </w:r>
      <w:r w:rsidR="00FC6200">
        <w:t>that together determine the WACC</w:t>
      </w:r>
      <w:r>
        <w:t xml:space="preserve">.  We use </w:t>
      </w:r>
      <w:r w:rsidR="002E2093">
        <w:t>the Capital Asset Pricing Model (“</w:t>
      </w:r>
      <w:r>
        <w:t>CAPM</w:t>
      </w:r>
      <w:r w:rsidR="002E2093">
        <w:t>”)</w:t>
      </w:r>
      <w:r>
        <w:t xml:space="preserve"> and criteria employed by the credit ratings agencies to quantify the changes in the COE and COD.</w:t>
      </w:r>
      <w:r w:rsidR="004F0624">
        <w:t xml:space="preserve">  </w:t>
      </w:r>
    </w:p>
    <w:p w14:paraId="00A25BF8" w14:textId="089F3673" w:rsidR="001346FA" w:rsidRDefault="004F0624" w:rsidP="001346FA">
      <w:pPr>
        <w:pStyle w:val="rptexecsummtext"/>
      </w:pPr>
      <w:r>
        <w:t xml:space="preserve">To the extent possible, </w:t>
      </w:r>
      <w:r w:rsidR="001346FA" w:rsidRPr="001346FA">
        <w:t xml:space="preserve">we </w:t>
      </w:r>
      <w:r>
        <w:t xml:space="preserve">maintain consistency with the recent CONE </w:t>
      </w:r>
      <w:r w:rsidR="001346FA" w:rsidRPr="001346FA">
        <w:t>study</w:t>
      </w:r>
      <w:r w:rsidR="006C21B1">
        <w:t xml:space="preserve"> in developing assumptions for our analysis</w:t>
      </w:r>
      <w:r w:rsidR="001346FA" w:rsidRPr="001346FA">
        <w:t xml:space="preserve">.  </w:t>
      </w:r>
      <w:r w:rsidR="001346FA">
        <w:t xml:space="preserve">However, </w:t>
      </w:r>
      <w:r w:rsidR="004B59A4">
        <w:t xml:space="preserve">since </w:t>
      </w:r>
      <w:r w:rsidR="001346FA">
        <w:t xml:space="preserve">the </w:t>
      </w:r>
      <w:r w:rsidR="00486B1D">
        <w:t>CONE Study</w:t>
      </w:r>
      <w:r w:rsidR="005947AA">
        <w:t xml:space="preserve"> does not explicitly characterize the volatility of revenues to the reference unit, </w:t>
      </w:r>
      <w:r w:rsidR="00600B91">
        <w:t xml:space="preserve">we </w:t>
      </w:r>
      <w:r w:rsidR="006A57E1">
        <w:t xml:space="preserve">developed and presented to stakeholders </w:t>
      </w:r>
      <w:r w:rsidR="00302952">
        <w:t xml:space="preserve">our assumptions regarding </w:t>
      </w:r>
      <w:r w:rsidR="006A57E1">
        <w:t xml:space="preserve">several drivers of revenue </w:t>
      </w:r>
      <w:r w:rsidR="00A32D0D">
        <w:t xml:space="preserve">volatility </w:t>
      </w:r>
      <w:r w:rsidR="00AA67AC">
        <w:t>for the reference unit</w:t>
      </w:r>
      <w:r w:rsidR="00A32D0D">
        <w:t xml:space="preserve"> </w:t>
      </w:r>
      <w:r w:rsidR="006A57E1">
        <w:t>that are affected by state policies</w:t>
      </w:r>
      <w:r w:rsidR="00A32D0D">
        <w:t xml:space="preserve">.  </w:t>
      </w:r>
      <w:r w:rsidR="001346FA">
        <w:t>Our scenarios regarding state policies are derived primarily from key documents supporting legislation and/or regulations.</w:t>
      </w:r>
    </w:p>
    <w:p w14:paraId="38359B08" w14:textId="60DE23B9" w:rsidR="000B568B" w:rsidRDefault="000B568B" w:rsidP="000B568B">
      <w:pPr>
        <w:pStyle w:val="rptexecsummtext"/>
      </w:pPr>
      <w:r>
        <w:t>Ultimately, based on the results of our model, we find that:</w:t>
      </w:r>
    </w:p>
    <w:p w14:paraId="7B894CE8" w14:textId="3DBB91AC" w:rsidR="000B568B" w:rsidRDefault="000B568B" w:rsidP="00757155">
      <w:pPr>
        <w:pStyle w:val="rptexecsummbullets1"/>
      </w:pPr>
      <w:r>
        <w:t xml:space="preserve">There is a considerable difference in the volatility of revenues to the reference unit with and without </w:t>
      </w:r>
      <w:r w:rsidR="005A5CBF">
        <w:t xml:space="preserve">the </w:t>
      </w:r>
      <w:r>
        <w:t>MOPR</w:t>
      </w:r>
      <w:r w:rsidR="005A5CBF">
        <w:t xml:space="preserve"> provisions</w:t>
      </w:r>
      <w:r>
        <w:t>.</w:t>
      </w:r>
    </w:p>
    <w:p w14:paraId="71F7E0C0" w14:textId="00D12278" w:rsidR="00F10718" w:rsidRDefault="005A5CBF" w:rsidP="00757155">
      <w:pPr>
        <w:pStyle w:val="rptexecsummbullets1"/>
      </w:pPr>
      <w:r>
        <w:t>Removing the MOPR provision increases t</w:t>
      </w:r>
      <w:r w:rsidR="000B568B">
        <w:t xml:space="preserve">he </w:t>
      </w:r>
      <w:r w:rsidR="00A83B8E">
        <w:t>After-Tax Weighted Average Cost of Capital (“</w:t>
      </w:r>
      <w:r w:rsidR="000B568B">
        <w:t>ATWACC</w:t>
      </w:r>
      <w:r w:rsidR="00A83B8E">
        <w:t>”)</w:t>
      </w:r>
      <w:r w:rsidR="000B568B">
        <w:t xml:space="preserve"> </w:t>
      </w:r>
      <w:r w:rsidR="00F10718">
        <w:t xml:space="preserve">by </w:t>
      </w:r>
      <w:r w:rsidR="00B72622">
        <w:t>2</w:t>
      </w:r>
      <w:r w:rsidR="009E3AA2">
        <w:t>25</w:t>
      </w:r>
      <w:r w:rsidR="00B246B2">
        <w:t xml:space="preserve"> basis points</w:t>
      </w:r>
      <w:r w:rsidR="00CC5E60">
        <w:t>.</w:t>
      </w:r>
    </w:p>
    <w:p w14:paraId="2174B27D" w14:textId="34FAAEFC" w:rsidR="000B568B" w:rsidRDefault="00CC5E60" w:rsidP="00757155">
      <w:pPr>
        <w:pStyle w:val="rptexecsummbullets1"/>
      </w:pPr>
      <w:r>
        <w:t xml:space="preserve">Hence, we recommend </w:t>
      </w:r>
      <w:r w:rsidR="00C32437">
        <w:t>a</w:t>
      </w:r>
      <w:r w:rsidR="00B72622">
        <w:t>n</w:t>
      </w:r>
      <w:r w:rsidR="00C32437">
        <w:t xml:space="preserve"> ATWACC of </w:t>
      </w:r>
      <w:r w:rsidR="000B568B">
        <w:t>10.</w:t>
      </w:r>
      <w:r w:rsidR="00A567AF">
        <w:t>51</w:t>
      </w:r>
      <w:r w:rsidR="000B568B">
        <w:t xml:space="preserve"> percent to compensate investors for the higher </w:t>
      </w:r>
      <w:r w:rsidR="00C764D4">
        <w:t xml:space="preserve">investment </w:t>
      </w:r>
      <w:r w:rsidR="000B568B">
        <w:t>risk in the No MOPR case.</w:t>
      </w:r>
    </w:p>
    <w:p w14:paraId="0E1589FA" w14:textId="00A7319A" w:rsidR="00BE1770" w:rsidRDefault="000B568B" w:rsidP="00757155">
      <w:pPr>
        <w:pStyle w:val="rptexecsummtext"/>
      </w:pPr>
      <w:r>
        <w:t>Th</w:t>
      </w:r>
      <w:r w:rsidR="00C764D4">
        <w:t>is</w:t>
      </w:r>
      <w:r>
        <w:t xml:space="preserve"> increase in ATWACC translates into a Net CONE of </w:t>
      </w:r>
      <w:r w:rsidR="002D2697">
        <w:t>$8.6</w:t>
      </w:r>
      <w:r w:rsidR="00A567AF">
        <w:t>6</w:t>
      </w:r>
      <w:r w:rsidR="002D2697">
        <w:t>/kW-year</w:t>
      </w:r>
      <w:r w:rsidR="00635B92">
        <w:t xml:space="preserve"> (2025$)</w:t>
      </w:r>
      <w:r w:rsidR="001961C3">
        <w:t>, which is</w:t>
      </w:r>
      <w:r>
        <w:t xml:space="preserve"> </w:t>
      </w:r>
      <w:r w:rsidR="00821B32">
        <w:t>1</w:t>
      </w:r>
      <w:r w:rsidR="00635B92">
        <w:t>6</w:t>
      </w:r>
      <w:r>
        <w:t xml:space="preserve"> percent higher than the current value of $7.47/kW-month.  In addition, the </w:t>
      </w:r>
      <w:r w:rsidR="002A1EE7">
        <w:t>Payment Performance Rate (“</w:t>
      </w:r>
      <w:r>
        <w:t>PPR</w:t>
      </w:r>
      <w:r w:rsidR="002A1EE7">
        <w:t>”)</w:t>
      </w:r>
      <w:r>
        <w:t xml:space="preserve"> should be increased to </w:t>
      </w:r>
      <w:r w:rsidR="009E2DCF">
        <w:t>$10,846/MWh</w:t>
      </w:r>
      <w:r>
        <w:t xml:space="preserve"> from </w:t>
      </w:r>
      <w:r w:rsidR="009E2DCF">
        <w:t>$9,337/MWh</w:t>
      </w:r>
      <w:r>
        <w:t>, to reflect the higher Net CONE of the reference unit.</w:t>
      </w:r>
    </w:p>
    <w:p w14:paraId="745E05E6" w14:textId="464632BE" w:rsidR="00B2489D" w:rsidRDefault="00B2489D" w:rsidP="0073764B">
      <w:pPr>
        <w:pStyle w:val="rptmainbodytext"/>
        <w:sectPr w:rsidR="00B2489D" w:rsidSect="00936145">
          <w:headerReference w:type="even" r:id="rId19"/>
          <w:headerReference w:type="default" r:id="rId20"/>
          <w:footerReference w:type="default" r:id="rId21"/>
          <w:type w:val="oddPage"/>
          <w:pgSz w:w="12240" w:h="15840" w:code="1"/>
          <w:pgMar w:top="1440" w:right="1440" w:bottom="1440" w:left="1440" w:header="720" w:footer="720" w:gutter="0"/>
          <w:cols w:space="720"/>
          <w:docGrid w:linePitch="360"/>
        </w:sectPr>
      </w:pPr>
    </w:p>
    <w:p w14:paraId="1F2864E6" w14:textId="79B3F6C2" w:rsidR="00C16B87" w:rsidRPr="00BE30BC" w:rsidRDefault="00B71C51" w:rsidP="00782137">
      <w:pPr>
        <w:pStyle w:val="rptmainbodyheading1"/>
        <w:spacing w:before="240"/>
      </w:pPr>
      <w:bookmarkStart w:id="52" w:name="_Toc8731970"/>
      <w:bookmarkStart w:id="53" w:name="_Toc8731971"/>
      <w:bookmarkStart w:id="54" w:name="_Toc8731972"/>
      <w:bookmarkStart w:id="55" w:name="_Toc8731981"/>
      <w:bookmarkStart w:id="56" w:name="_Toc8731987"/>
      <w:bookmarkStart w:id="57" w:name="_Toc8731988"/>
      <w:bookmarkStart w:id="58" w:name="_Toc8731989"/>
      <w:bookmarkStart w:id="59" w:name="_Toc8731990"/>
      <w:bookmarkStart w:id="60" w:name="_Toc8731991"/>
      <w:bookmarkStart w:id="61" w:name="_Toc8731992"/>
      <w:bookmarkStart w:id="62" w:name="_Toc8731993"/>
      <w:bookmarkStart w:id="63" w:name="_Toc8731994"/>
      <w:bookmarkStart w:id="64" w:name="_Toc8731995"/>
      <w:bookmarkStart w:id="65" w:name="_Toc8731996"/>
      <w:bookmarkStart w:id="66" w:name="_Toc8731997"/>
      <w:bookmarkStart w:id="67" w:name="_Toc8731998"/>
      <w:bookmarkStart w:id="68" w:name="_Toc8731999"/>
      <w:bookmarkStart w:id="69" w:name="_Toc8732000"/>
      <w:bookmarkStart w:id="70" w:name="_Toc8732001"/>
      <w:bookmarkStart w:id="71" w:name="_Toc8732002"/>
      <w:bookmarkStart w:id="72" w:name="_Toc8732003"/>
      <w:bookmarkStart w:id="73" w:name="_Toc8732004"/>
      <w:bookmarkStart w:id="74" w:name="_Ref86065391"/>
      <w:bookmarkStart w:id="75" w:name="_Toc86419516"/>
      <w:bookmarkEnd w:id="16"/>
      <w:bookmarkEnd w:id="17"/>
      <w:bookmarkEnd w:id="52"/>
      <w:bookmarkEnd w:id="53"/>
      <w:bookmarkEnd w:id="54"/>
      <w:bookmarkEnd w:id="55"/>
      <w:bookmarkEnd w:id="56"/>
      <w:bookmarkEnd w:id="57"/>
      <w:bookmarkEnd w:id="58"/>
      <w:bookmarkEnd w:id="59"/>
      <w:bookmarkEnd w:id="60"/>
      <w:bookmarkEnd w:id="61"/>
      <w:bookmarkEnd w:id="62"/>
      <w:bookmarkEnd w:id="63"/>
      <w:bookmarkEnd w:id="64"/>
      <w:bookmarkEnd w:id="65"/>
      <w:bookmarkEnd w:id="66"/>
      <w:bookmarkEnd w:id="67"/>
      <w:bookmarkEnd w:id="68"/>
      <w:bookmarkEnd w:id="69"/>
      <w:bookmarkEnd w:id="70"/>
      <w:bookmarkEnd w:id="71"/>
      <w:bookmarkEnd w:id="72"/>
      <w:bookmarkEnd w:id="73"/>
      <w:r w:rsidRPr="00B71C51">
        <w:lastRenderedPageBreak/>
        <w:t>Background and Scope of Study</w:t>
      </w:r>
      <w:bookmarkEnd w:id="74"/>
      <w:bookmarkEnd w:id="75"/>
      <w:r w:rsidR="00C16B87" w:rsidRPr="00BE30BC">
        <w:t xml:space="preserve"> </w:t>
      </w:r>
    </w:p>
    <w:p w14:paraId="155E793C" w14:textId="22E3C0F2" w:rsidR="00A85189" w:rsidRDefault="00EF428D" w:rsidP="00B71C51">
      <w:pPr>
        <w:pStyle w:val="rptmainbodytext"/>
      </w:pPr>
      <w:bookmarkStart w:id="76" w:name="_Hlk513729152"/>
      <w:r>
        <w:t xml:space="preserve">New England </w:t>
      </w:r>
      <w:r w:rsidR="00597F2E">
        <w:t>relies on</w:t>
      </w:r>
      <w:r w:rsidR="009C5340">
        <w:t xml:space="preserve"> </w:t>
      </w:r>
      <w:r w:rsidR="00BB6584">
        <w:t xml:space="preserve">competitive wholesale </w:t>
      </w:r>
      <w:r w:rsidR="00632C2B">
        <w:t>market</w:t>
      </w:r>
      <w:r w:rsidR="0028142A">
        <w:t xml:space="preserve"> incentives</w:t>
      </w:r>
      <w:r w:rsidR="00632C2B">
        <w:t xml:space="preserve"> </w:t>
      </w:r>
      <w:r w:rsidR="00040068">
        <w:t xml:space="preserve">to </w:t>
      </w:r>
      <w:r w:rsidR="00CC30EB">
        <w:t>motivate</w:t>
      </w:r>
      <w:r w:rsidR="00040068">
        <w:t xml:space="preserve"> invest</w:t>
      </w:r>
      <w:r w:rsidR="00CC30EB">
        <w:t>ors to</w:t>
      </w:r>
      <w:r w:rsidR="00040068">
        <w:t xml:space="preserve"> </w:t>
      </w:r>
      <w:r w:rsidR="00515FB5">
        <w:t xml:space="preserve">build </w:t>
      </w:r>
      <w:r w:rsidR="00040068">
        <w:t>new supply</w:t>
      </w:r>
      <w:r w:rsidR="00BB4AA0">
        <w:t xml:space="preserve"> </w:t>
      </w:r>
      <w:r w:rsidR="003E7EC3">
        <w:t>and maint</w:t>
      </w:r>
      <w:r w:rsidR="00515FB5">
        <w:t>ain</w:t>
      </w:r>
      <w:r w:rsidR="003E7EC3">
        <w:t xml:space="preserve"> existing resources</w:t>
      </w:r>
      <w:r w:rsidR="0054278E">
        <w:t xml:space="preserve"> to satisfy r</w:t>
      </w:r>
      <w:r w:rsidR="00A340FF">
        <w:t>esource adequacy needs</w:t>
      </w:r>
      <w:r w:rsidR="00632C2B">
        <w:t xml:space="preserve">.  </w:t>
      </w:r>
      <w:r w:rsidR="008854F7">
        <w:t xml:space="preserve">In recent years, </w:t>
      </w:r>
      <w:r w:rsidR="00632C2B">
        <w:t xml:space="preserve">New England states have </w:t>
      </w:r>
      <w:r w:rsidR="00EF201B">
        <w:t>increasingly</w:t>
      </w:r>
      <w:r w:rsidR="008854F7">
        <w:t xml:space="preserve"> </w:t>
      </w:r>
      <w:r w:rsidR="00632C2B">
        <w:t>promot</w:t>
      </w:r>
      <w:r w:rsidR="008854F7">
        <w:t>e</w:t>
      </w:r>
      <w:r w:rsidR="00EF201B">
        <w:t>d</w:t>
      </w:r>
      <w:r w:rsidR="00632C2B">
        <w:t xml:space="preserve"> investment in clean resources to achieve</w:t>
      </w:r>
      <w:r w:rsidR="006572E1">
        <w:t xml:space="preserve"> ambitious</w:t>
      </w:r>
      <w:r w:rsidR="00632C2B">
        <w:t xml:space="preserve"> environmental </w:t>
      </w:r>
      <w:r w:rsidR="00241A87">
        <w:t>goal</w:t>
      </w:r>
      <w:r w:rsidR="00632C2B">
        <w:t>s through long-term contracts and other out-of-market revenue streams.</w:t>
      </w:r>
      <w:r w:rsidR="00A85189">
        <w:t xml:space="preserve">  </w:t>
      </w:r>
      <w:r w:rsidR="00B71C51">
        <w:t>ISO</w:t>
      </w:r>
      <w:r w:rsidR="006D0F2D">
        <w:t>-NE</w:t>
      </w:r>
      <w:r w:rsidR="0052396B">
        <w:t>’s</w:t>
      </w:r>
      <w:r w:rsidR="00B71C51">
        <w:t xml:space="preserve"> </w:t>
      </w:r>
      <w:r w:rsidR="00863EA1">
        <w:t>Minimum Offer Pricing Rules (“MOPR”)</w:t>
      </w:r>
      <w:r w:rsidR="00B71C51">
        <w:t xml:space="preserve"> </w:t>
      </w:r>
      <w:r w:rsidR="0048258A">
        <w:t xml:space="preserve">have </w:t>
      </w:r>
      <w:r w:rsidR="000948F7">
        <w:t xml:space="preserve">moderated </w:t>
      </w:r>
      <w:r w:rsidR="00B71C51">
        <w:t xml:space="preserve">the price effects of out-of-market </w:t>
      </w:r>
      <w:r w:rsidR="007C0997">
        <w:t>investment</w:t>
      </w:r>
      <w:r w:rsidR="00EB775F">
        <w:t xml:space="preserve"> by imposing offer floors on </w:t>
      </w:r>
      <w:r w:rsidR="00444383">
        <w:t xml:space="preserve">resources receiving </w:t>
      </w:r>
      <w:r w:rsidR="00474ACE">
        <w:t>such</w:t>
      </w:r>
      <w:r w:rsidR="00444383">
        <w:t xml:space="preserve"> revenues</w:t>
      </w:r>
      <w:r w:rsidR="00474ACE">
        <w:t xml:space="preserve"> </w:t>
      </w:r>
      <w:r w:rsidR="00F064B1">
        <w:t>in some cases</w:t>
      </w:r>
      <w:r w:rsidR="00B71C51">
        <w:t>.</w:t>
      </w:r>
      <w:r w:rsidR="006D0F2D">
        <w:t xml:space="preserve">  </w:t>
      </w:r>
      <w:r w:rsidR="00931878">
        <w:t xml:space="preserve">In other cases, </w:t>
      </w:r>
      <w:r w:rsidR="00F71729">
        <w:t>resources receiving out-of-market revenues have been</w:t>
      </w:r>
      <w:r w:rsidR="002B5AC2">
        <w:t xml:space="preserve"> able </w:t>
      </w:r>
      <w:r w:rsidR="00AB5097">
        <w:t>enter the market and sell capacity after participating in ISO-NE’s</w:t>
      </w:r>
      <w:r w:rsidR="00D8740D">
        <w:t xml:space="preserve"> Substitution Auction</w:t>
      </w:r>
      <w:r w:rsidR="00612E86">
        <w:t xml:space="preserve"> for </w:t>
      </w:r>
      <w:r w:rsidR="00D8659A">
        <w:t>sponsored resources</w:t>
      </w:r>
      <w:r w:rsidR="00D8740D">
        <w:t>.</w:t>
      </w:r>
      <w:r w:rsidR="00B71C51">
        <w:t xml:space="preserve"> </w:t>
      </w:r>
    </w:p>
    <w:p w14:paraId="35D80B96" w14:textId="4F333EB5" w:rsidR="00B71C51" w:rsidRDefault="00BA08D9" w:rsidP="00B71C51">
      <w:pPr>
        <w:pStyle w:val="rptmainbodytext"/>
      </w:pPr>
      <w:r>
        <w:t xml:space="preserve">The </w:t>
      </w:r>
      <w:r w:rsidR="00B71C51">
        <w:t xml:space="preserve">MOPR has helped ensure that out-of-market </w:t>
      </w:r>
      <w:r w:rsidR="00630A62">
        <w:t>su</w:t>
      </w:r>
      <w:r w:rsidR="004D4431">
        <w:t>bsidies</w:t>
      </w:r>
      <w:r w:rsidR="00630A62">
        <w:t xml:space="preserve"> </w:t>
      </w:r>
      <w:r w:rsidR="00B71C51">
        <w:t>do not undermine the market’s ability to attract investment needed for resource adequacy.  However, the status quo MOPR could become a barrier to or increase the costs of States achieving their public policy goals.  Accordingly, ISO-NE is working with its stakeholders to eliminate</w:t>
      </w:r>
      <w:r w:rsidR="00A250EF">
        <w:t xml:space="preserve"> or modify the</w:t>
      </w:r>
      <w:r w:rsidR="00B71C51">
        <w:t xml:space="preserve"> MOPR in time for FCA-17.  </w:t>
      </w:r>
    </w:p>
    <w:p w14:paraId="3C415A00" w14:textId="72A1860A" w:rsidR="00B71C51" w:rsidRDefault="00B71C51" w:rsidP="00B71C51">
      <w:pPr>
        <w:pStyle w:val="rptmainbodytext"/>
      </w:pPr>
      <w:r>
        <w:t xml:space="preserve">An important consequence of eliminating </w:t>
      </w:r>
      <w:r w:rsidR="007441E2">
        <w:t xml:space="preserve">the </w:t>
      </w:r>
      <w:r w:rsidR="008E235B">
        <w:t xml:space="preserve">application of the </w:t>
      </w:r>
      <w:r>
        <w:t xml:space="preserve">MOPR </w:t>
      </w:r>
      <w:r w:rsidR="008E235B">
        <w:t>to public policy resources</w:t>
      </w:r>
      <w:r>
        <w:t xml:space="preserve"> </w:t>
      </w:r>
      <w:r w:rsidR="000F5E86">
        <w:t>will be</w:t>
      </w:r>
      <w:r>
        <w:t xml:space="preserve"> an increase in the financial risk</w:t>
      </w:r>
      <w:r w:rsidR="00064ECA">
        <w:t xml:space="preserve"> for merchant resources</w:t>
      </w:r>
      <w:r>
        <w:t xml:space="preserve">.  The increase in </w:t>
      </w:r>
      <w:r w:rsidR="00E00527">
        <w:t xml:space="preserve">financial </w:t>
      </w:r>
      <w:r>
        <w:t xml:space="preserve">risk </w:t>
      </w:r>
      <w:r w:rsidR="00012EEA">
        <w:t>w</w:t>
      </w:r>
      <w:r w:rsidR="000F5E86">
        <w:t>ill</w:t>
      </w:r>
      <w:r w:rsidR="00012EEA">
        <w:t xml:space="preserve"> result from</w:t>
      </w:r>
      <w:r>
        <w:t xml:space="preserve"> increase</w:t>
      </w:r>
      <w:r w:rsidR="00012EEA">
        <w:t>d</w:t>
      </w:r>
      <w:r>
        <w:t xml:space="preserve"> volatility of market </w:t>
      </w:r>
      <w:r w:rsidR="000313FA">
        <w:t xml:space="preserve">revenues </w:t>
      </w:r>
      <w:r w:rsidR="002B41F1">
        <w:t>after</w:t>
      </w:r>
      <w:r w:rsidR="005A6623">
        <w:t xml:space="preserve"> the</w:t>
      </w:r>
      <w:r>
        <w:t xml:space="preserve"> MOPR is eliminated</w:t>
      </w:r>
      <w:r w:rsidR="00C53910">
        <w:t xml:space="preserve">.  This occurs because </w:t>
      </w:r>
      <w:r w:rsidR="00E4207A">
        <w:t xml:space="preserve">subsidized resources </w:t>
      </w:r>
      <w:r w:rsidR="00316279">
        <w:t xml:space="preserve">will </w:t>
      </w:r>
      <w:r w:rsidR="002B41F1">
        <w:t>be able to</w:t>
      </w:r>
      <w:r w:rsidR="00E4207A">
        <w:t xml:space="preserve"> enter the market </w:t>
      </w:r>
      <w:r w:rsidR="00CA4BE1">
        <w:t xml:space="preserve">and sell capacity even </w:t>
      </w:r>
      <w:r w:rsidR="00207841">
        <w:t>when the</w:t>
      </w:r>
      <w:r w:rsidR="005C2E79">
        <w:t xml:space="preserve">y are not economic and are contributing to </w:t>
      </w:r>
      <w:r w:rsidR="00207841">
        <w:t>a substantial capacity</w:t>
      </w:r>
      <w:r w:rsidR="00CA4BE1">
        <w:t xml:space="preserve"> </w:t>
      </w:r>
      <w:r w:rsidR="00A40F13">
        <w:t>surplus</w:t>
      </w:r>
      <w:r>
        <w:t xml:space="preserve">.  As a result, investors are likely to require a higher return on capital for merchant </w:t>
      </w:r>
      <w:r w:rsidR="004A160A">
        <w:t xml:space="preserve">supply </w:t>
      </w:r>
      <w:r>
        <w:t>resources in the ISO-NE markets.  The ISO requested the EMM evaluate this risk and how it can be accounted for in the market.</w:t>
      </w:r>
    </w:p>
    <w:p w14:paraId="0B8A8BE2" w14:textId="485C035D" w:rsidR="00B71C51" w:rsidRDefault="00B71C51" w:rsidP="00B71C51">
      <w:pPr>
        <w:pStyle w:val="rptmainbodytext"/>
      </w:pPr>
      <w:r>
        <w:t xml:space="preserve">This report describes our assessment of the increase in the financial risk to merchant investors due to the elimination of </w:t>
      </w:r>
      <w:r w:rsidR="0048461F">
        <w:t xml:space="preserve">the </w:t>
      </w:r>
      <w:r>
        <w:t xml:space="preserve">MOPR, and </w:t>
      </w:r>
      <w:r w:rsidR="00823888">
        <w:t xml:space="preserve">it </w:t>
      </w:r>
      <w:r>
        <w:t xml:space="preserve">is organized as </w:t>
      </w:r>
      <w:r w:rsidR="000B47C9">
        <w:t>follows</w:t>
      </w:r>
      <w:r>
        <w:t>:</w:t>
      </w:r>
    </w:p>
    <w:p w14:paraId="5D25264E" w14:textId="6A28206A" w:rsidR="00B71C51" w:rsidRDefault="00B71C51" w:rsidP="00B71C51">
      <w:pPr>
        <w:pStyle w:val="rptmainbodybullets1"/>
      </w:pPr>
      <w:r>
        <w:t xml:space="preserve">Section </w:t>
      </w:r>
      <w:r w:rsidR="009665E5">
        <w:fldChar w:fldCharType="begin"/>
      </w:r>
      <w:r w:rsidR="009665E5">
        <w:instrText xml:space="preserve"> REF _Ref84237547 \n \h </w:instrText>
      </w:r>
      <w:r w:rsidR="009665E5">
        <w:fldChar w:fldCharType="separate"/>
      </w:r>
      <w:r w:rsidR="009665E5">
        <w:t>II</w:t>
      </w:r>
      <w:r w:rsidR="009665E5">
        <w:fldChar w:fldCharType="end"/>
      </w:r>
      <w:r>
        <w:t xml:space="preserve"> discusses the key drivers of financial risk for investors in capacity resources, and how </w:t>
      </w:r>
      <w:r w:rsidR="003B125F">
        <w:t xml:space="preserve">the </w:t>
      </w:r>
      <w:r>
        <w:t xml:space="preserve">MOPR </w:t>
      </w:r>
      <w:r w:rsidR="00D94535">
        <w:t>tends to reduce this</w:t>
      </w:r>
      <w:r>
        <w:t xml:space="preserve"> risk.</w:t>
      </w:r>
    </w:p>
    <w:p w14:paraId="753B69EE" w14:textId="207070E1" w:rsidR="00B71C51" w:rsidRDefault="00B71C51" w:rsidP="00B71C51">
      <w:pPr>
        <w:pStyle w:val="rptmainbodybullets1"/>
      </w:pPr>
      <w:r>
        <w:t xml:space="preserve">Section </w:t>
      </w:r>
      <w:r w:rsidR="00805839">
        <w:fldChar w:fldCharType="begin"/>
      </w:r>
      <w:r w:rsidR="00805839">
        <w:instrText xml:space="preserve"> REF _Ref84237600 \n \h </w:instrText>
      </w:r>
      <w:r w:rsidR="00805839">
        <w:fldChar w:fldCharType="separate"/>
      </w:r>
      <w:r w:rsidR="00805839">
        <w:t>III</w:t>
      </w:r>
      <w:r w:rsidR="00805839">
        <w:fldChar w:fldCharType="end"/>
      </w:r>
      <w:r>
        <w:t xml:space="preserve"> provides an overview of our methodology for quantifying the increase in financial risk due to elimination of</w:t>
      </w:r>
      <w:r w:rsidR="003F4FF9">
        <w:t xml:space="preserve"> the</w:t>
      </w:r>
      <w:r>
        <w:t xml:space="preserve"> MOPR.</w:t>
      </w:r>
    </w:p>
    <w:p w14:paraId="035BC960" w14:textId="442A2B81" w:rsidR="00B71C51" w:rsidRDefault="00B71C51" w:rsidP="00B71C51">
      <w:pPr>
        <w:pStyle w:val="rptmainbodybullets1"/>
      </w:pPr>
      <w:r>
        <w:t xml:space="preserve">Section </w:t>
      </w:r>
      <w:r w:rsidR="00941084">
        <w:fldChar w:fldCharType="begin"/>
      </w:r>
      <w:r w:rsidR="00941084">
        <w:instrText xml:space="preserve"> REF _Ref84237667 \n \h </w:instrText>
      </w:r>
      <w:r w:rsidR="00941084">
        <w:fldChar w:fldCharType="separate"/>
      </w:r>
      <w:r w:rsidR="00941084">
        <w:t>IV</w:t>
      </w:r>
      <w:r w:rsidR="00941084">
        <w:fldChar w:fldCharType="end"/>
      </w:r>
      <w:r>
        <w:t xml:space="preserve"> describes </w:t>
      </w:r>
      <w:r w:rsidR="00CA772F">
        <w:t xml:space="preserve">our </w:t>
      </w:r>
      <w:r>
        <w:t>principles for determining the inputs</w:t>
      </w:r>
      <w:r w:rsidR="00941084">
        <w:t xml:space="preserve"> and </w:t>
      </w:r>
      <w:r w:rsidR="005C29FF">
        <w:t xml:space="preserve">the key </w:t>
      </w:r>
      <w:r>
        <w:t xml:space="preserve">assumptions </w:t>
      </w:r>
      <w:r w:rsidR="00611AF1">
        <w:t>for the</w:t>
      </w:r>
      <w:r>
        <w:t xml:space="preserve"> study</w:t>
      </w:r>
      <w:r w:rsidR="00C805E1">
        <w:t>, and</w:t>
      </w:r>
    </w:p>
    <w:p w14:paraId="00053AE6" w14:textId="20D3DB31" w:rsidR="00C16B87" w:rsidRDefault="00B71C51" w:rsidP="00B774F2">
      <w:pPr>
        <w:pStyle w:val="rptmainbodybullets1"/>
      </w:pPr>
      <w:r>
        <w:t xml:space="preserve">Section </w:t>
      </w:r>
      <w:r w:rsidR="004D14B2">
        <w:fldChar w:fldCharType="begin"/>
      </w:r>
      <w:r w:rsidR="004D14B2">
        <w:instrText xml:space="preserve"> REF _Ref84237808 \n \h </w:instrText>
      </w:r>
      <w:r w:rsidR="004D14B2">
        <w:fldChar w:fldCharType="separate"/>
      </w:r>
      <w:r w:rsidR="004D14B2">
        <w:t>V</w:t>
      </w:r>
      <w:r w:rsidR="004D14B2">
        <w:fldChar w:fldCharType="end"/>
      </w:r>
      <w:r>
        <w:t xml:space="preserve"> discusses the results </w:t>
      </w:r>
      <w:r w:rsidR="00C805E1">
        <w:t xml:space="preserve">and conclusions </w:t>
      </w:r>
      <w:r>
        <w:t>of our study</w:t>
      </w:r>
      <w:r w:rsidR="00C805E1">
        <w:t>.</w:t>
      </w:r>
    </w:p>
    <w:bookmarkEnd w:id="76"/>
    <w:p w14:paraId="4E16C075" w14:textId="77777777" w:rsidR="00C16B87" w:rsidRDefault="00C16B87" w:rsidP="00C16B87">
      <w:pPr>
        <w:pStyle w:val="rptmainbodytext"/>
        <w:rPr>
          <w:lang w:eastAsia="zh-CN"/>
        </w:rPr>
        <w:sectPr w:rsidR="00C16B87" w:rsidSect="00BE1770">
          <w:headerReference w:type="even" r:id="rId22"/>
          <w:headerReference w:type="default" r:id="rId23"/>
          <w:pgSz w:w="12240" w:h="15840" w:code="1"/>
          <w:pgMar w:top="1440" w:right="1440" w:bottom="1440" w:left="1440" w:header="720" w:footer="720" w:gutter="0"/>
          <w:cols w:space="720"/>
          <w:docGrid w:linePitch="360"/>
        </w:sectPr>
      </w:pPr>
    </w:p>
    <w:p w14:paraId="2B099AD6" w14:textId="62B550E5" w:rsidR="00C16B87" w:rsidRDefault="00E635E5" w:rsidP="00BE30BC">
      <w:pPr>
        <w:pStyle w:val="rptmainbodyheading1"/>
      </w:pPr>
      <w:bookmarkStart w:id="77" w:name="_Ref84237547"/>
      <w:bookmarkStart w:id="78" w:name="_Toc86419517"/>
      <w:r>
        <w:lastRenderedPageBreak/>
        <w:t>Impact</w:t>
      </w:r>
      <w:r w:rsidR="00735EF1">
        <w:t xml:space="preserve"> of MOPR on</w:t>
      </w:r>
      <w:r w:rsidR="00B71C51" w:rsidRPr="00B71C51">
        <w:t xml:space="preserve"> Financial Risk for Investors</w:t>
      </w:r>
      <w:bookmarkEnd w:id="77"/>
      <w:bookmarkEnd w:id="78"/>
      <w:r w:rsidR="00C16B87" w:rsidRPr="00596F57">
        <w:t xml:space="preserve"> </w:t>
      </w:r>
    </w:p>
    <w:p w14:paraId="6DA7A741" w14:textId="14E0C447" w:rsidR="0045539B" w:rsidRDefault="005C3F85" w:rsidP="00C16B87">
      <w:pPr>
        <w:pStyle w:val="rptmainbodytext"/>
      </w:pPr>
      <w:r>
        <w:t>W</w:t>
      </w:r>
      <w:r w:rsidR="00F36B5A">
        <w:t xml:space="preserve">hen entry and exit </w:t>
      </w:r>
      <w:r w:rsidR="0079321F">
        <w:t xml:space="preserve">of supply </w:t>
      </w:r>
      <w:r w:rsidR="00602A57">
        <w:t>occur</w:t>
      </w:r>
      <w:r w:rsidR="00535C07">
        <w:t xml:space="preserve">s that is not </w:t>
      </w:r>
      <w:r w:rsidR="00602A57">
        <w:t>in response to</w:t>
      </w:r>
      <w:r w:rsidR="00F36B5A">
        <w:t xml:space="preserve"> market signals, </w:t>
      </w:r>
      <w:r w:rsidR="009B2FDD">
        <w:t>i.e., occurring</w:t>
      </w:r>
      <w:r w:rsidR="00017EA5">
        <w:t xml:space="preserve"> outside of the</w:t>
      </w:r>
      <w:r w:rsidR="005F0E6B">
        <w:t xml:space="preserve"> market </w:t>
      </w:r>
      <w:r w:rsidR="0033153B">
        <w:t xml:space="preserve">through power purchase agreements, </w:t>
      </w:r>
      <w:r w:rsidR="00183AF8">
        <w:t>prices and other</w:t>
      </w:r>
      <w:r w:rsidR="00F36B5A">
        <w:t xml:space="preserve"> </w:t>
      </w:r>
      <w:r w:rsidR="00B429F0">
        <w:t xml:space="preserve">market outcomes </w:t>
      </w:r>
      <w:r w:rsidR="00224EA4">
        <w:t>become more</w:t>
      </w:r>
      <w:r w:rsidR="00B429F0">
        <w:t xml:space="preserve"> </w:t>
      </w:r>
      <w:r w:rsidR="00FE0378">
        <w:t xml:space="preserve">volatile and </w:t>
      </w:r>
      <w:r w:rsidR="00B429F0">
        <w:t xml:space="preserve">difficult to </w:t>
      </w:r>
      <w:r w:rsidR="00183AF8">
        <w:t>forecast</w:t>
      </w:r>
      <w:r w:rsidR="00B429F0">
        <w:t xml:space="preserve">.  </w:t>
      </w:r>
      <w:r w:rsidR="008006CE">
        <w:t xml:space="preserve">MOPR provisions reduce this volatility by </w:t>
      </w:r>
      <w:r w:rsidR="00A60496">
        <w:t>limiting the quantity of out</w:t>
      </w:r>
      <w:r w:rsidR="00D1434C">
        <w:t>-</w:t>
      </w:r>
      <w:r w:rsidR="00A60496">
        <w:t>of</w:t>
      </w:r>
      <w:r w:rsidR="00D1434C">
        <w:t>-</w:t>
      </w:r>
      <w:r w:rsidR="00A60496">
        <w:t xml:space="preserve">market new resources that will clear in the capacity market.  </w:t>
      </w:r>
      <w:r w:rsidR="00FE0378">
        <w:t>Hence</w:t>
      </w:r>
      <w:r w:rsidR="00B429F0">
        <w:t xml:space="preserve">, </w:t>
      </w:r>
      <w:r w:rsidR="00A60496">
        <w:t>capacity</w:t>
      </w:r>
      <w:r w:rsidR="00B429F0">
        <w:t xml:space="preserve"> </w:t>
      </w:r>
      <w:r w:rsidR="007069B2">
        <w:t xml:space="preserve">price volatility </w:t>
      </w:r>
      <w:r w:rsidR="00283C3C">
        <w:t xml:space="preserve">will likely </w:t>
      </w:r>
      <w:r w:rsidR="007069B2">
        <w:t>increase when MOPR is eliminated, and</w:t>
      </w:r>
      <w:r w:rsidR="00F85785">
        <w:t xml:space="preserve"> merchant</w:t>
      </w:r>
      <w:r w:rsidR="007069B2">
        <w:t xml:space="preserve"> investors </w:t>
      </w:r>
      <w:r w:rsidR="000C3E13">
        <w:t>will</w:t>
      </w:r>
      <w:r w:rsidR="007069B2">
        <w:t xml:space="preserve"> demand a higher return for investing</w:t>
      </w:r>
      <w:r w:rsidR="00F85785">
        <w:t xml:space="preserve"> </w:t>
      </w:r>
      <w:r w:rsidR="00651C5C">
        <w:t xml:space="preserve">in </w:t>
      </w:r>
      <w:r w:rsidR="003A5C81">
        <w:t>New England</w:t>
      </w:r>
      <w:r w:rsidR="007069B2">
        <w:t>.</w:t>
      </w:r>
      <w:r w:rsidR="00647189">
        <w:t xml:space="preserve">  </w:t>
      </w:r>
      <w:r w:rsidR="00646A99">
        <w:t>Since d</w:t>
      </w:r>
      <w:r w:rsidR="00786D7A">
        <w:t xml:space="preserve">evelopers of intermittent generation and </w:t>
      </w:r>
      <w:r w:rsidR="000862FD">
        <w:t xml:space="preserve">energy </w:t>
      </w:r>
      <w:r w:rsidR="00786D7A">
        <w:t>storage</w:t>
      </w:r>
      <w:r w:rsidR="000862FD">
        <w:t xml:space="preserve"> resources</w:t>
      </w:r>
      <w:r w:rsidR="00A653C3">
        <w:t xml:space="preserve"> rely on a mix of </w:t>
      </w:r>
      <w:r w:rsidR="00CE58FF">
        <w:t>out-of-market revenues and wholesale market revenues</w:t>
      </w:r>
      <w:r w:rsidR="00646A99">
        <w:t xml:space="preserve">, even these developers </w:t>
      </w:r>
      <w:r w:rsidR="004D3691">
        <w:t>will</w:t>
      </w:r>
      <w:r w:rsidR="003942A9">
        <w:t xml:space="preserve"> </w:t>
      </w:r>
      <w:r w:rsidR="00AF3464">
        <w:t xml:space="preserve">demand a </w:t>
      </w:r>
      <w:r w:rsidR="00C61B7A">
        <w:t>higher return on investment</w:t>
      </w:r>
      <w:r w:rsidR="00B80948">
        <w:t>.</w:t>
      </w:r>
    </w:p>
    <w:p w14:paraId="2C755020" w14:textId="21986000" w:rsidR="00687D5F" w:rsidRDefault="00647189" w:rsidP="00C16B87">
      <w:pPr>
        <w:pStyle w:val="rptmainbodytext"/>
      </w:pPr>
      <w:r>
        <w:t>In this section, we discuss:</w:t>
      </w:r>
    </w:p>
    <w:p w14:paraId="4CBD20F9" w14:textId="0EAB00FA" w:rsidR="00647189" w:rsidRDefault="002E4A1B" w:rsidP="00BD1682">
      <w:pPr>
        <w:pStyle w:val="rptmainbodybullets1"/>
      </w:pPr>
      <w:r>
        <w:t>T</w:t>
      </w:r>
      <w:r w:rsidR="00ED45A9">
        <w:t>he principles</w:t>
      </w:r>
      <w:r w:rsidR="00850766">
        <w:t xml:space="preserve"> of </w:t>
      </w:r>
      <w:r w:rsidR="00C1467B">
        <w:t>capacity market design</w:t>
      </w:r>
      <w:r w:rsidR="00ED45A9">
        <w:t xml:space="preserve">, </w:t>
      </w:r>
      <w:r w:rsidR="00450C57">
        <w:t>including</w:t>
      </w:r>
      <w:r w:rsidR="00ED45A9">
        <w:t xml:space="preserve"> </w:t>
      </w:r>
      <w:r w:rsidR="0037183E">
        <w:t xml:space="preserve">the role of capacity market </w:t>
      </w:r>
      <w:r w:rsidR="00C1467B">
        <w:t xml:space="preserve">and the relationship between </w:t>
      </w:r>
      <w:r w:rsidR="009122E0">
        <w:t xml:space="preserve">key </w:t>
      </w:r>
      <w:r w:rsidR="00C1467B">
        <w:t xml:space="preserve">market </w:t>
      </w:r>
      <w:r w:rsidR="00450C57">
        <w:t xml:space="preserve">design </w:t>
      </w:r>
      <w:r w:rsidR="00C1467B">
        <w:t xml:space="preserve">parameters and price </w:t>
      </w:r>
      <w:r w:rsidR="00F13B19">
        <w:t>stability</w:t>
      </w:r>
      <w:r w:rsidR="00647189">
        <w:t xml:space="preserve"> (subsection </w:t>
      </w:r>
      <w:r w:rsidR="00064FE4">
        <w:fldChar w:fldCharType="begin"/>
      </w:r>
      <w:r w:rsidR="00064FE4">
        <w:instrText xml:space="preserve"> REF _Ref84315167 \n \h </w:instrText>
      </w:r>
      <w:r w:rsidR="00064FE4">
        <w:fldChar w:fldCharType="separate"/>
      </w:r>
      <w:r w:rsidR="00064FE4">
        <w:t>A</w:t>
      </w:r>
      <w:r w:rsidR="00064FE4">
        <w:fldChar w:fldCharType="end"/>
      </w:r>
      <w:r w:rsidR="00647189">
        <w:t>),</w:t>
      </w:r>
    </w:p>
    <w:p w14:paraId="7DDA35B0" w14:textId="735305F4" w:rsidR="00647189" w:rsidRDefault="00064FE4" w:rsidP="00BD1682">
      <w:pPr>
        <w:pStyle w:val="rptmainbodybullets1"/>
      </w:pPr>
      <w:r>
        <w:t xml:space="preserve">How </w:t>
      </w:r>
      <w:r w:rsidR="00F13B19">
        <w:t xml:space="preserve">price stability </w:t>
      </w:r>
      <w:r w:rsidR="009122E0">
        <w:t>is affected by</w:t>
      </w:r>
      <w:r w:rsidR="00F13B19">
        <w:t xml:space="preserve"> out-of-market entry</w:t>
      </w:r>
      <w:r w:rsidR="00647189">
        <w:t xml:space="preserve"> (subsection </w:t>
      </w:r>
      <w:r w:rsidR="00D37520">
        <w:fldChar w:fldCharType="begin"/>
      </w:r>
      <w:r w:rsidR="00D37520">
        <w:instrText xml:space="preserve"> REF _Ref84315189 \n \h </w:instrText>
      </w:r>
      <w:r w:rsidR="00D37520">
        <w:fldChar w:fldCharType="separate"/>
      </w:r>
      <w:r w:rsidR="00D37520">
        <w:t>B</w:t>
      </w:r>
      <w:r w:rsidR="00D37520">
        <w:fldChar w:fldCharType="end"/>
      </w:r>
      <w:r w:rsidR="00647189">
        <w:t>), and</w:t>
      </w:r>
    </w:p>
    <w:p w14:paraId="3AB85035" w14:textId="668FA973" w:rsidR="0037183E" w:rsidRDefault="00D37520" w:rsidP="00BD1682">
      <w:pPr>
        <w:pStyle w:val="rptmainbodybullets1"/>
      </w:pPr>
      <w:r>
        <w:t xml:space="preserve">Our </w:t>
      </w:r>
      <w:r w:rsidR="009122E0">
        <w:t xml:space="preserve">conclusions regarding </w:t>
      </w:r>
      <w:r w:rsidR="006060A1">
        <w:t>how MOPR affects financial risk for investors</w:t>
      </w:r>
      <w:r w:rsidR="00BD1682">
        <w:t xml:space="preserve"> (Subsection </w:t>
      </w:r>
      <w:r w:rsidR="000F1B9D">
        <w:fldChar w:fldCharType="begin"/>
      </w:r>
      <w:r w:rsidR="000F1B9D">
        <w:instrText xml:space="preserve"> REF _Ref84315212 \n \h </w:instrText>
      </w:r>
      <w:r w:rsidR="000F1B9D">
        <w:fldChar w:fldCharType="separate"/>
      </w:r>
      <w:r w:rsidR="000F1B9D">
        <w:t>C</w:t>
      </w:r>
      <w:r w:rsidR="000F1B9D">
        <w:fldChar w:fldCharType="end"/>
      </w:r>
      <w:r w:rsidR="00BD1682">
        <w:t>)</w:t>
      </w:r>
      <w:r w:rsidR="006060A1">
        <w:t>.</w:t>
      </w:r>
    </w:p>
    <w:p w14:paraId="39BAC546" w14:textId="09615484" w:rsidR="00C16B87" w:rsidRDefault="00097F02" w:rsidP="001E2ED7">
      <w:pPr>
        <w:pStyle w:val="rptmainbodyheading2"/>
      </w:pPr>
      <w:bookmarkStart w:id="79" w:name="_Toc416689160"/>
      <w:bookmarkStart w:id="80" w:name="_Toc416689387"/>
      <w:bookmarkStart w:id="81" w:name="_Toc416689683"/>
      <w:bookmarkStart w:id="82" w:name="_Toc416690799"/>
      <w:bookmarkStart w:id="83" w:name="_Toc416691062"/>
      <w:bookmarkStart w:id="84" w:name="_Toc416691611"/>
      <w:bookmarkStart w:id="85" w:name="_Toc416691846"/>
      <w:bookmarkStart w:id="86" w:name="_Toc416692081"/>
      <w:bookmarkStart w:id="87" w:name="_Toc416692316"/>
      <w:bookmarkStart w:id="88" w:name="_Toc416692551"/>
      <w:bookmarkStart w:id="89" w:name="_Toc416692786"/>
      <w:bookmarkStart w:id="90" w:name="_Toc416693021"/>
      <w:bookmarkStart w:id="91" w:name="_Toc416693256"/>
      <w:bookmarkStart w:id="92" w:name="_Toc416693493"/>
      <w:bookmarkStart w:id="93" w:name="_Toc416693728"/>
      <w:bookmarkStart w:id="94" w:name="_Toc416693963"/>
      <w:bookmarkStart w:id="95" w:name="_Toc416694199"/>
      <w:bookmarkStart w:id="96" w:name="_Toc416694437"/>
      <w:bookmarkStart w:id="97" w:name="_Toc416696318"/>
      <w:bookmarkStart w:id="98" w:name="_Toc416686109"/>
      <w:bookmarkStart w:id="99" w:name="_Toc416686839"/>
      <w:bookmarkStart w:id="100" w:name="_Toc416687295"/>
      <w:bookmarkStart w:id="101" w:name="_Toc416687503"/>
      <w:bookmarkStart w:id="102" w:name="_Toc416687712"/>
      <w:bookmarkStart w:id="103" w:name="_Toc416687917"/>
      <w:bookmarkStart w:id="104" w:name="_Toc416689161"/>
      <w:bookmarkStart w:id="105" w:name="_Toc416689388"/>
      <w:bookmarkStart w:id="106" w:name="_Toc416689684"/>
      <w:bookmarkStart w:id="107" w:name="_Toc416690800"/>
      <w:bookmarkStart w:id="108" w:name="_Toc416691063"/>
      <w:bookmarkStart w:id="109" w:name="_Toc416691612"/>
      <w:bookmarkStart w:id="110" w:name="_Toc416691847"/>
      <w:bookmarkStart w:id="111" w:name="_Toc416692082"/>
      <w:bookmarkStart w:id="112" w:name="_Toc416692317"/>
      <w:bookmarkStart w:id="113" w:name="_Toc416692552"/>
      <w:bookmarkStart w:id="114" w:name="_Toc416692787"/>
      <w:bookmarkStart w:id="115" w:name="_Toc416693022"/>
      <w:bookmarkStart w:id="116" w:name="_Toc416693257"/>
      <w:bookmarkStart w:id="117" w:name="_Toc416693494"/>
      <w:bookmarkStart w:id="118" w:name="_Toc416693729"/>
      <w:bookmarkStart w:id="119" w:name="_Toc416693964"/>
      <w:bookmarkStart w:id="120" w:name="_Toc416694200"/>
      <w:bookmarkStart w:id="121" w:name="_Toc416694438"/>
      <w:bookmarkStart w:id="122" w:name="_Toc416696319"/>
      <w:bookmarkStart w:id="123" w:name="_Toc416686110"/>
      <w:bookmarkStart w:id="124" w:name="_Toc416686840"/>
      <w:bookmarkStart w:id="125" w:name="_Toc416687296"/>
      <w:bookmarkStart w:id="126" w:name="_Toc416687504"/>
      <w:bookmarkStart w:id="127" w:name="_Toc416687713"/>
      <w:bookmarkStart w:id="128" w:name="_Toc416687918"/>
      <w:bookmarkStart w:id="129" w:name="_Toc416689162"/>
      <w:bookmarkStart w:id="130" w:name="_Toc416689389"/>
      <w:bookmarkStart w:id="131" w:name="_Toc416689685"/>
      <w:bookmarkStart w:id="132" w:name="_Toc416690801"/>
      <w:bookmarkStart w:id="133" w:name="_Toc416691064"/>
      <w:bookmarkStart w:id="134" w:name="_Toc416691613"/>
      <w:bookmarkStart w:id="135" w:name="_Toc416691848"/>
      <w:bookmarkStart w:id="136" w:name="_Toc416692083"/>
      <w:bookmarkStart w:id="137" w:name="_Toc416692318"/>
      <w:bookmarkStart w:id="138" w:name="_Toc416692553"/>
      <w:bookmarkStart w:id="139" w:name="_Toc416692788"/>
      <w:bookmarkStart w:id="140" w:name="_Toc416693023"/>
      <w:bookmarkStart w:id="141" w:name="_Toc416693258"/>
      <w:bookmarkStart w:id="142" w:name="_Toc416693495"/>
      <w:bookmarkStart w:id="143" w:name="_Toc416693730"/>
      <w:bookmarkStart w:id="144" w:name="_Toc416693965"/>
      <w:bookmarkStart w:id="145" w:name="_Toc416694201"/>
      <w:bookmarkStart w:id="146" w:name="_Toc416694439"/>
      <w:bookmarkStart w:id="147" w:name="_Toc416696320"/>
      <w:bookmarkStart w:id="148" w:name="_Toc416686111"/>
      <w:bookmarkStart w:id="149" w:name="_Toc416686841"/>
      <w:bookmarkStart w:id="150" w:name="_Toc416687297"/>
      <w:bookmarkStart w:id="151" w:name="_Toc416687505"/>
      <w:bookmarkStart w:id="152" w:name="_Toc416687714"/>
      <w:bookmarkStart w:id="153" w:name="_Toc416687919"/>
      <w:bookmarkStart w:id="154" w:name="_Toc416689163"/>
      <w:bookmarkStart w:id="155" w:name="_Toc416689390"/>
      <w:bookmarkStart w:id="156" w:name="_Toc416689686"/>
      <w:bookmarkStart w:id="157" w:name="_Toc416690802"/>
      <w:bookmarkStart w:id="158" w:name="_Toc416691065"/>
      <w:bookmarkStart w:id="159" w:name="_Toc416691614"/>
      <w:bookmarkStart w:id="160" w:name="_Toc416691849"/>
      <w:bookmarkStart w:id="161" w:name="_Toc416692084"/>
      <w:bookmarkStart w:id="162" w:name="_Toc416692319"/>
      <w:bookmarkStart w:id="163" w:name="_Toc416692554"/>
      <w:bookmarkStart w:id="164" w:name="_Toc416692789"/>
      <w:bookmarkStart w:id="165" w:name="_Toc416693024"/>
      <w:bookmarkStart w:id="166" w:name="_Toc416693259"/>
      <w:bookmarkStart w:id="167" w:name="_Toc416693496"/>
      <w:bookmarkStart w:id="168" w:name="_Toc416693731"/>
      <w:bookmarkStart w:id="169" w:name="_Toc416693966"/>
      <w:bookmarkStart w:id="170" w:name="_Toc416694202"/>
      <w:bookmarkStart w:id="171" w:name="_Toc416694440"/>
      <w:bookmarkStart w:id="172" w:name="_Toc416696321"/>
      <w:bookmarkStart w:id="173" w:name="_Toc416686112"/>
      <w:bookmarkStart w:id="174" w:name="_Toc416686842"/>
      <w:bookmarkStart w:id="175" w:name="_Toc416687298"/>
      <w:bookmarkStart w:id="176" w:name="_Toc416687506"/>
      <w:bookmarkStart w:id="177" w:name="_Toc416687715"/>
      <w:bookmarkStart w:id="178" w:name="_Toc416687920"/>
      <w:bookmarkStart w:id="179" w:name="_Toc416689164"/>
      <w:bookmarkStart w:id="180" w:name="_Toc416689391"/>
      <w:bookmarkStart w:id="181" w:name="_Toc416689687"/>
      <w:bookmarkStart w:id="182" w:name="_Toc416690803"/>
      <w:bookmarkStart w:id="183" w:name="_Toc416691066"/>
      <w:bookmarkStart w:id="184" w:name="_Toc416691615"/>
      <w:bookmarkStart w:id="185" w:name="_Toc416691850"/>
      <w:bookmarkStart w:id="186" w:name="_Toc416692085"/>
      <w:bookmarkStart w:id="187" w:name="_Toc416692320"/>
      <w:bookmarkStart w:id="188" w:name="_Toc416692555"/>
      <w:bookmarkStart w:id="189" w:name="_Toc416692790"/>
      <w:bookmarkStart w:id="190" w:name="_Toc416693025"/>
      <w:bookmarkStart w:id="191" w:name="_Toc416693260"/>
      <w:bookmarkStart w:id="192" w:name="_Toc416693497"/>
      <w:bookmarkStart w:id="193" w:name="_Toc416693732"/>
      <w:bookmarkStart w:id="194" w:name="_Toc416693967"/>
      <w:bookmarkStart w:id="195" w:name="_Toc416694203"/>
      <w:bookmarkStart w:id="196" w:name="_Toc416694441"/>
      <w:bookmarkStart w:id="197" w:name="_Toc416696322"/>
      <w:bookmarkStart w:id="198" w:name="_Toc416686113"/>
      <w:bookmarkStart w:id="199" w:name="_Toc416686863"/>
      <w:bookmarkStart w:id="200" w:name="_Toc416687299"/>
      <w:bookmarkStart w:id="201" w:name="_Toc416687507"/>
      <w:bookmarkStart w:id="202" w:name="_Toc416687716"/>
      <w:bookmarkStart w:id="203" w:name="_Toc416687921"/>
      <w:bookmarkStart w:id="204" w:name="_Toc416689165"/>
      <w:bookmarkStart w:id="205" w:name="_Toc416689392"/>
      <w:bookmarkStart w:id="206" w:name="_Toc416689688"/>
      <w:bookmarkStart w:id="207" w:name="_Toc416690804"/>
      <w:bookmarkStart w:id="208" w:name="_Toc416691067"/>
      <w:bookmarkStart w:id="209" w:name="_Toc416691616"/>
      <w:bookmarkStart w:id="210" w:name="_Toc416691851"/>
      <w:bookmarkStart w:id="211" w:name="_Toc416692086"/>
      <w:bookmarkStart w:id="212" w:name="_Toc416692321"/>
      <w:bookmarkStart w:id="213" w:name="_Toc416692556"/>
      <w:bookmarkStart w:id="214" w:name="_Toc416692791"/>
      <w:bookmarkStart w:id="215" w:name="_Toc416693026"/>
      <w:bookmarkStart w:id="216" w:name="_Toc416693261"/>
      <w:bookmarkStart w:id="217" w:name="_Toc416693498"/>
      <w:bookmarkStart w:id="218" w:name="_Toc416693733"/>
      <w:bookmarkStart w:id="219" w:name="_Toc416693968"/>
      <w:bookmarkStart w:id="220" w:name="_Toc416694204"/>
      <w:bookmarkStart w:id="221" w:name="_Toc416694442"/>
      <w:bookmarkStart w:id="222" w:name="_Toc416696323"/>
      <w:bookmarkStart w:id="223" w:name="_Toc416686114"/>
      <w:bookmarkStart w:id="224" w:name="_Toc416686865"/>
      <w:bookmarkStart w:id="225" w:name="_Toc416687300"/>
      <w:bookmarkStart w:id="226" w:name="_Toc416687508"/>
      <w:bookmarkStart w:id="227" w:name="_Toc416687717"/>
      <w:bookmarkStart w:id="228" w:name="_Toc416687922"/>
      <w:bookmarkStart w:id="229" w:name="_Toc416689166"/>
      <w:bookmarkStart w:id="230" w:name="_Toc416689393"/>
      <w:bookmarkStart w:id="231" w:name="_Toc416689689"/>
      <w:bookmarkStart w:id="232" w:name="_Toc416690805"/>
      <w:bookmarkStart w:id="233" w:name="_Toc416691068"/>
      <w:bookmarkStart w:id="234" w:name="_Toc416691617"/>
      <w:bookmarkStart w:id="235" w:name="_Toc416691852"/>
      <w:bookmarkStart w:id="236" w:name="_Toc416692087"/>
      <w:bookmarkStart w:id="237" w:name="_Toc416692322"/>
      <w:bookmarkStart w:id="238" w:name="_Toc416692557"/>
      <w:bookmarkStart w:id="239" w:name="_Toc416692792"/>
      <w:bookmarkStart w:id="240" w:name="_Toc416693027"/>
      <w:bookmarkStart w:id="241" w:name="_Toc416693262"/>
      <w:bookmarkStart w:id="242" w:name="_Toc416693499"/>
      <w:bookmarkStart w:id="243" w:name="_Toc416693734"/>
      <w:bookmarkStart w:id="244" w:name="_Toc416693969"/>
      <w:bookmarkStart w:id="245" w:name="_Toc416694205"/>
      <w:bookmarkStart w:id="246" w:name="_Toc416694443"/>
      <w:bookmarkStart w:id="247" w:name="_Toc416696324"/>
      <w:bookmarkStart w:id="248" w:name="_Toc416686115"/>
      <w:bookmarkStart w:id="249" w:name="_Toc416686866"/>
      <w:bookmarkStart w:id="250" w:name="_Toc416687301"/>
      <w:bookmarkStart w:id="251" w:name="_Toc416687509"/>
      <w:bookmarkStart w:id="252" w:name="_Toc416687718"/>
      <w:bookmarkStart w:id="253" w:name="_Toc416687923"/>
      <w:bookmarkStart w:id="254" w:name="_Toc416689167"/>
      <w:bookmarkStart w:id="255" w:name="_Toc416689394"/>
      <w:bookmarkStart w:id="256" w:name="_Toc416689690"/>
      <w:bookmarkStart w:id="257" w:name="_Toc416690806"/>
      <w:bookmarkStart w:id="258" w:name="_Toc416691069"/>
      <w:bookmarkStart w:id="259" w:name="_Toc416691618"/>
      <w:bookmarkStart w:id="260" w:name="_Toc416691853"/>
      <w:bookmarkStart w:id="261" w:name="_Toc416692088"/>
      <w:bookmarkStart w:id="262" w:name="_Toc416692323"/>
      <w:bookmarkStart w:id="263" w:name="_Toc416692558"/>
      <w:bookmarkStart w:id="264" w:name="_Toc416692793"/>
      <w:bookmarkStart w:id="265" w:name="_Toc416693028"/>
      <w:bookmarkStart w:id="266" w:name="_Toc416693263"/>
      <w:bookmarkStart w:id="267" w:name="_Toc416693500"/>
      <w:bookmarkStart w:id="268" w:name="_Toc416693735"/>
      <w:bookmarkStart w:id="269" w:name="_Toc416693970"/>
      <w:bookmarkStart w:id="270" w:name="_Toc416694206"/>
      <w:bookmarkStart w:id="271" w:name="_Toc416694444"/>
      <w:bookmarkStart w:id="272" w:name="_Toc416696325"/>
      <w:bookmarkStart w:id="273" w:name="_Toc416686116"/>
      <w:bookmarkStart w:id="274" w:name="_Toc416686868"/>
      <w:bookmarkStart w:id="275" w:name="_Toc416687302"/>
      <w:bookmarkStart w:id="276" w:name="_Toc416687510"/>
      <w:bookmarkStart w:id="277" w:name="_Toc416687719"/>
      <w:bookmarkStart w:id="278" w:name="_Toc416687924"/>
      <w:bookmarkStart w:id="279" w:name="_Toc416689168"/>
      <w:bookmarkStart w:id="280" w:name="_Toc416689395"/>
      <w:bookmarkStart w:id="281" w:name="_Toc416689691"/>
      <w:bookmarkStart w:id="282" w:name="_Toc416690807"/>
      <w:bookmarkStart w:id="283" w:name="_Toc416691070"/>
      <w:bookmarkStart w:id="284" w:name="_Toc416691619"/>
      <w:bookmarkStart w:id="285" w:name="_Toc416691854"/>
      <w:bookmarkStart w:id="286" w:name="_Toc416692089"/>
      <w:bookmarkStart w:id="287" w:name="_Toc416692324"/>
      <w:bookmarkStart w:id="288" w:name="_Toc416692559"/>
      <w:bookmarkStart w:id="289" w:name="_Toc416692794"/>
      <w:bookmarkStart w:id="290" w:name="_Toc416693029"/>
      <w:bookmarkStart w:id="291" w:name="_Toc416693264"/>
      <w:bookmarkStart w:id="292" w:name="_Toc416693501"/>
      <w:bookmarkStart w:id="293" w:name="_Toc416693736"/>
      <w:bookmarkStart w:id="294" w:name="_Toc416693971"/>
      <w:bookmarkStart w:id="295" w:name="_Toc416694207"/>
      <w:bookmarkStart w:id="296" w:name="_Toc416694445"/>
      <w:bookmarkStart w:id="297" w:name="_Toc416696326"/>
      <w:bookmarkStart w:id="298" w:name="_Toc416686117"/>
      <w:bookmarkStart w:id="299" w:name="_Toc416686869"/>
      <w:bookmarkStart w:id="300" w:name="_Toc416687303"/>
      <w:bookmarkStart w:id="301" w:name="_Toc416687511"/>
      <w:bookmarkStart w:id="302" w:name="_Toc416687720"/>
      <w:bookmarkStart w:id="303" w:name="_Toc416687925"/>
      <w:bookmarkStart w:id="304" w:name="_Toc416689169"/>
      <w:bookmarkStart w:id="305" w:name="_Toc416689396"/>
      <w:bookmarkStart w:id="306" w:name="_Toc416689692"/>
      <w:bookmarkStart w:id="307" w:name="_Toc416690808"/>
      <w:bookmarkStart w:id="308" w:name="_Toc416691071"/>
      <w:bookmarkStart w:id="309" w:name="_Toc416691620"/>
      <w:bookmarkStart w:id="310" w:name="_Toc416691855"/>
      <w:bookmarkStart w:id="311" w:name="_Toc416692090"/>
      <w:bookmarkStart w:id="312" w:name="_Toc416692325"/>
      <w:bookmarkStart w:id="313" w:name="_Toc416692560"/>
      <w:bookmarkStart w:id="314" w:name="_Toc416692795"/>
      <w:bookmarkStart w:id="315" w:name="_Toc416693030"/>
      <w:bookmarkStart w:id="316" w:name="_Toc416693265"/>
      <w:bookmarkStart w:id="317" w:name="_Toc416693502"/>
      <w:bookmarkStart w:id="318" w:name="_Toc416693737"/>
      <w:bookmarkStart w:id="319" w:name="_Toc416693972"/>
      <w:bookmarkStart w:id="320" w:name="_Toc416694208"/>
      <w:bookmarkStart w:id="321" w:name="_Toc416694446"/>
      <w:bookmarkStart w:id="322" w:name="_Toc416696327"/>
      <w:bookmarkStart w:id="323" w:name="_Toc416686118"/>
      <w:bookmarkStart w:id="324" w:name="_Toc416686870"/>
      <w:bookmarkStart w:id="325" w:name="_Toc416687304"/>
      <w:bookmarkStart w:id="326" w:name="_Toc416687512"/>
      <w:bookmarkStart w:id="327" w:name="_Toc416687721"/>
      <w:bookmarkStart w:id="328" w:name="_Toc416687926"/>
      <w:bookmarkStart w:id="329" w:name="_Toc416689170"/>
      <w:bookmarkStart w:id="330" w:name="_Toc416689397"/>
      <w:bookmarkStart w:id="331" w:name="_Toc416689693"/>
      <w:bookmarkStart w:id="332" w:name="_Toc416690809"/>
      <w:bookmarkStart w:id="333" w:name="_Toc416691072"/>
      <w:bookmarkStart w:id="334" w:name="_Toc416691621"/>
      <w:bookmarkStart w:id="335" w:name="_Toc416691856"/>
      <w:bookmarkStart w:id="336" w:name="_Toc416692091"/>
      <w:bookmarkStart w:id="337" w:name="_Toc416692326"/>
      <w:bookmarkStart w:id="338" w:name="_Toc416692561"/>
      <w:bookmarkStart w:id="339" w:name="_Toc416692796"/>
      <w:bookmarkStart w:id="340" w:name="_Toc416693031"/>
      <w:bookmarkStart w:id="341" w:name="_Toc416693266"/>
      <w:bookmarkStart w:id="342" w:name="_Toc416693503"/>
      <w:bookmarkStart w:id="343" w:name="_Toc416693738"/>
      <w:bookmarkStart w:id="344" w:name="_Toc416693973"/>
      <w:bookmarkStart w:id="345" w:name="_Toc416694209"/>
      <w:bookmarkStart w:id="346" w:name="_Toc416694447"/>
      <w:bookmarkStart w:id="347" w:name="_Toc416696328"/>
      <w:bookmarkStart w:id="348" w:name="_Toc416686119"/>
      <w:bookmarkStart w:id="349" w:name="_Toc416686926"/>
      <w:bookmarkStart w:id="350" w:name="_Toc416687305"/>
      <w:bookmarkStart w:id="351" w:name="_Toc416687513"/>
      <w:bookmarkStart w:id="352" w:name="_Toc416687722"/>
      <w:bookmarkStart w:id="353" w:name="_Toc416687927"/>
      <w:bookmarkStart w:id="354" w:name="_Toc416689171"/>
      <w:bookmarkStart w:id="355" w:name="_Toc416689398"/>
      <w:bookmarkStart w:id="356" w:name="_Toc416689694"/>
      <w:bookmarkStart w:id="357" w:name="_Toc416690810"/>
      <w:bookmarkStart w:id="358" w:name="_Toc416691073"/>
      <w:bookmarkStart w:id="359" w:name="_Toc416691622"/>
      <w:bookmarkStart w:id="360" w:name="_Toc416691857"/>
      <w:bookmarkStart w:id="361" w:name="_Toc416692092"/>
      <w:bookmarkStart w:id="362" w:name="_Toc416692327"/>
      <w:bookmarkStart w:id="363" w:name="_Toc416692562"/>
      <w:bookmarkStart w:id="364" w:name="_Toc416692797"/>
      <w:bookmarkStart w:id="365" w:name="_Toc416693032"/>
      <w:bookmarkStart w:id="366" w:name="_Toc416693267"/>
      <w:bookmarkStart w:id="367" w:name="_Toc416693504"/>
      <w:bookmarkStart w:id="368" w:name="_Toc416693739"/>
      <w:bookmarkStart w:id="369" w:name="_Toc416693974"/>
      <w:bookmarkStart w:id="370" w:name="_Toc416694210"/>
      <w:bookmarkStart w:id="371" w:name="_Toc416694448"/>
      <w:bookmarkStart w:id="372" w:name="_Toc416696329"/>
      <w:bookmarkStart w:id="373" w:name="_Toc416686120"/>
      <w:bookmarkStart w:id="374" w:name="_Toc416686927"/>
      <w:bookmarkStart w:id="375" w:name="_Toc416687306"/>
      <w:bookmarkStart w:id="376" w:name="_Toc416687514"/>
      <w:bookmarkStart w:id="377" w:name="_Toc416687723"/>
      <w:bookmarkStart w:id="378" w:name="_Toc416687928"/>
      <w:bookmarkStart w:id="379" w:name="_Toc416689172"/>
      <w:bookmarkStart w:id="380" w:name="_Toc416689399"/>
      <w:bookmarkStart w:id="381" w:name="_Toc416689695"/>
      <w:bookmarkStart w:id="382" w:name="_Toc416690811"/>
      <w:bookmarkStart w:id="383" w:name="_Toc416691074"/>
      <w:bookmarkStart w:id="384" w:name="_Toc416691623"/>
      <w:bookmarkStart w:id="385" w:name="_Toc416691858"/>
      <w:bookmarkStart w:id="386" w:name="_Toc416692093"/>
      <w:bookmarkStart w:id="387" w:name="_Toc416692328"/>
      <w:bookmarkStart w:id="388" w:name="_Toc416692563"/>
      <w:bookmarkStart w:id="389" w:name="_Toc416692798"/>
      <w:bookmarkStart w:id="390" w:name="_Toc416693033"/>
      <w:bookmarkStart w:id="391" w:name="_Toc416693268"/>
      <w:bookmarkStart w:id="392" w:name="_Toc416693505"/>
      <w:bookmarkStart w:id="393" w:name="_Toc416693740"/>
      <w:bookmarkStart w:id="394" w:name="_Toc416693975"/>
      <w:bookmarkStart w:id="395" w:name="_Toc416694211"/>
      <w:bookmarkStart w:id="396" w:name="_Toc416694449"/>
      <w:bookmarkStart w:id="397" w:name="_Toc416696330"/>
      <w:bookmarkStart w:id="398" w:name="_Toc416686121"/>
      <w:bookmarkStart w:id="399" w:name="_Toc416686928"/>
      <w:bookmarkStart w:id="400" w:name="_Toc416687307"/>
      <w:bookmarkStart w:id="401" w:name="_Toc416687515"/>
      <w:bookmarkStart w:id="402" w:name="_Toc416687724"/>
      <w:bookmarkStart w:id="403" w:name="_Toc416687929"/>
      <w:bookmarkStart w:id="404" w:name="_Toc416689173"/>
      <w:bookmarkStart w:id="405" w:name="_Toc416689400"/>
      <w:bookmarkStart w:id="406" w:name="_Toc416689696"/>
      <w:bookmarkStart w:id="407" w:name="_Toc416690812"/>
      <w:bookmarkStart w:id="408" w:name="_Toc416691075"/>
      <w:bookmarkStart w:id="409" w:name="_Toc416691624"/>
      <w:bookmarkStart w:id="410" w:name="_Toc416691859"/>
      <w:bookmarkStart w:id="411" w:name="_Toc416692094"/>
      <w:bookmarkStart w:id="412" w:name="_Toc416692329"/>
      <w:bookmarkStart w:id="413" w:name="_Toc416692564"/>
      <w:bookmarkStart w:id="414" w:name="_Toc416692799"/>
      <w:bookmarkStart w:id="415" w:name="_Toc416693034"/>
      <w:bookmarkStart w:id="416" w:name="_Toc416693269"/>
      <w:bookmarkStart w:id="417" w:name="_Toc416693506"/>
      <w:bookmarkStart w:id="418" w:name="_Toc416693741"/>
      <w:bookmarkStart w:id="419" w:name="_Toc416693976"/>
      <w:bookmarkStart w:id="420" w:name="_Toc416694212"/>
      <w:bookmarkStart w:id="421" w:name="_Toc416694450"/>
      <w:bookmarkStart w:id="422" w:name="_Toc416696331"/>
      <w:bookmarkStart w:id="423" w:name="_Toc416686122"/>
      <w:bookmarkStart w:id="424" w:name="_Toc416686929"/>
      <w:bookmarkStart w:id="425" w:name="_Toc416687308"/>
      <w:bookmarkStart w:id="426" w:name="_Toc416687516"/>
      <w:bookmarkStart w:id="427" w:name="_Toc416687725"/>
      <w:bookmarkStart w:id="428" w:name="_Toc416687930"/>
      <w:bookmarkStart w:id="429" w:name="_Toc416689174"/>
      <w:bookmarkStart w:id="430" w:name="_Toc416689401"/>
      <w:bookmarkStart w:id="431" w:name="_Toc416689697"/>
      <w:bookmarkStart w:id="432" w:name="_Toc416690813"/>
      <w:bookmarkStart w:id="433" w:name="_Toc416691076"/>
      <w:bookmarkStart w:id="434" w:name="_Toc416691625"/>
      <w:bookmarkStart w:id="435" w:name="_Toc416691860"/>
      <w:bookmarkStart w:id="436" w:name="_Toc416692095"/>
      <w:bookmarkStart w:id="437" w:name="_Toc416692330"/>
      <w:bookmarkStart w:id="438" w:name="_Toc416692565"/>
      <w:bookmarkStart w:id="439" w:name="_Toc416692800"/>
      <w:bookmarkStart w:id="440" w:name="_Toc416693035"/>
      <w:bookmarkStart w:id="441" w:name="_Toc416693270"/>
      <w:bookmarkStart w:id="442" w:name="_Toc416693507"/>
      <w:bookmarkStart w:id="443" w:name="_Toc416693742"/>
      <w:bookmarkStart w:id="444" w:name="_Toc416693977"/>
      <w:bookmarkStart w:id="445" w:name="_Toc416694213"/>
      <w:bookmarkStart w:id="446" w:name="_Toc416694451"/>
      <w:bookmarkStart w:id="447" w:name="_Toc416696332"/>
      <w:bookmarkStart w:id="448" w:name="_Toc416686123"/>
      <w:bookmarkStart w:id="449" w:name="_Toc416686932"/>
      <w:bookmarkStart w:id="450" w:name="_Toc416687309"/>
      <w:bookmarkStart w:id="451" w:name="_Toc416687517"/>
      <w:bookmarkStart w:id="452" w:name="_Toc416687726"/>
      <w:bookmarkStart w:id="453" w:name="_Toc416687931"/>
      <w:bookmarkStart w:id="454" w:name="_Toc416689175"/>
      <w:bookmarkStart w:id="455" w:name="_Toc416689402"/>
      <w:bookmarkStart w:id="456" w:name="_Toc416689698"/>
      <w:bookmarkStart w:id="457" w:name="_Toc416690814"/>
      <w:bookmarkStart w:id="458" w:name="_Toc416691077"/>
      <w:bookmarkStart w:id="459" w:name="_Toc416691626"/>
      <w:bookmarkStart w:id="460" w:name="_Toc416691861"/>
      <w:bookmarkStart w:id="461" w:name="_Toc416692096"/>
      <w:bookmarkStart w:id="462" w:name="_Toc416692331"/>
      <w:bookmarkStart w:id="463" w:name="_Toc416692566"/>
      <w:bookmarkStart w:id="464" w:name="_Toc416692801"/>
      <w:bookmarkStart w:id="465" w:name="_Toc416693036"/>
      <w:bookmarkStart w:id="466" w:name="_Toc416693271"/>
      <w:bookmarkStart w:id="467" w:name="_Toc416693508"/>
      <w:bookmarkStart w:id="468" w:name="_Toc416693743"/>
      <w:bookmarkStart w:id="469" w:name="_Toc416693978"/>
      <w:bookmarkStart w:id="470" w:name="_Toc416694214"/>
      <w:bookmarkStart w:id="471" w:name="_Toc416694452"/>
      <w:bookmarkStart w:id="472" w:name="_Toc416696333"/>
      <w:bookmarkStart w:id="473" w:name="_Toc416686124"/>
      <w:bookmarkStart w:id="474" w:name="_Toc416686933"/>
      <w:bookmarkStart w:id="475" w:name="_Toc416687310"/>
      <w:bookmarkStart w:id="476" w:name="_Toc416687518"/>
      <w:bookmarkStart w:id="477" w:name="_Toc416687727"/>
      <w:bookmarkStart w:id="478" w:name="_Toc416687932"/>
      <w:bookmarkStart w:id="479" w:name="_Toc416689176"/>
      <w:bookmarkStart w:id="480" w:name="_Toc416689403"/>
      <w:bookmarkStart w:id="481" w:name="_Toc416689699"/>
      <w:bookmarkStart w:id="482" w:name="_Toc416690815"/>
      <w:bookmarkStart w:id="483" w:name="_Toc416691078"/>
      <w:bookmarkStart w:id="484" w:name="_Toc416691627"/>
      <w:bookmarkStart w:id="485" w:name="_Toc416691862"/>
      <w:bookmarkStart w:id="486" w:name="_Toc416692097"/>
      <w:bookmarkStart w:id="487" w:name="_Toc416692332"/>
      <w:bookmarkStart w:id="488" w:name="_Toc416692567"/>
      <w:bookmarkStart w:id="489" w:name="_Toc416692802"/>
      <w:bookmarkStart w:id="490" w:name="_Toc416693037"/>
      <w:bookmarkStart w:id="491" w:name="_Toc416693272"/>
      <w:bookmarkStart w:id="492" w:name="_Toc416693509"/>
      <w:bookmarkStart w:id="493" w:name="_Toc416693744"/>
      <w:bookmarkStart w:id="494" w:name="_Toc416693979"/>
      <w:bookmarkStart w:id="495" w:name="_Toc416694215"/>
      <w:bookmarkStart w:id="496" w:name="_Toc416694453"/>
      <w:bookmarkStart w:id="497" w:name="_Toc416696334"/>
      <w:bookmarkStart w:id="498" w:name="_Toc416686125"/>
      <w:bookmarkStart w:id="499" w:name="_Toc416686934"/>
      <w:bookmarkStart w:id="500" w:name="_Toc416687311"/>
      <w:bookmarkStart w:id="501" w:name="_Toc416687519"/>
      <w:bookmarkStart w:id="502" w:name="_Toc416687728"/>
      <w:bookmarkStart w:id="503" w:name="_Toc416687933"/>
      <w:bookmarkStart w:id="504" w:name="_Toc416689177"/>
      <w:bookmarkStart w:id="505" w:name="_Toc416689404"/>
      <w:bookmarkStart w:id="506" w:name="_Toc416689700"/>
      <w:bookmarkStart w:id="507" w:name="_Toc416690816"/>
      <w:bookmarkStart w:id="508" w:name="_Toc416691079"/>
      <w:bookmarkStart w:id="509" w:name="_Toc416691628"/>
      <w:bookmarkStart w:id="510" w:name="_Toc416691863"/>
      <w:bookmarkStart w:id="511" w:name="_Toc416692098"/>
      <w:bookmarkStart w:id="512" w:name="_Toc416692333"/>
      <w:bookmarkStart w:id="513" w:name="_Toc416692568"/>
      <w:bookmarkStart w:id="514" w:name="_Toc416692803"/>
      <w:bookmarkStart w:id="515" w:name="_Toc416693038"/>
      <w:bookmarkStart w:id="516" w:name="_Toc416693273"/>
      <w:bookmarkStart w:id="517" w:name="_Toc416693510"/>
      <w:bookmarkStart w:id="518" w:name="_Toc416693745"/>
      <w:bookmarkStart w:id="519" w:name="_Toc416693980"/>
      <w:bookmarkStart w:id="520" w:name="_Toc416694216"/>
      <w:bookmarkStart w:id="521" w:name="_Toc416694454"/>
      <w:bookmarkStart w:id="522" w:name="_Toc416696335"/>
      <w:bookmarkStart w:id="523" w:name="_Toc416686126"/>
      <w:bookmarkStart w:id="524" w:name="_Toc416686935"/>
      <w:bookmarkStart w:id="525" w:name="_Toc416687312"/>
      <w:bookmarkStart w:id="526" w:name="_Toc416687520"/>
      <w:bookmarkStart w:id="527" w:name="_Toc416687729"/>
      <w:bookmarkStart w:id="528" w:name="_Toc416687934"/>
      <w:bookmarkStart w:id="529" w:name="_Toc416689178"/>
      <w:bookmarkStart w:id="530" w:name="_Toc416689405"/>
      <w:bookmarkStart w:id="531" w:name="_Toc416689701"/>
      <w:bookmarkStart w:id="532" w:name="_Toc416690817"/>
      <w:bookmarkStart w:id="533" w:name="_Toc416691080"/>
      <w:bookmarkStart w:id="534" w:name="_Toc416691629"/>
      <w:bookmarkStart w:id="535" w:name="_Toc416691864"/>
      <w:bookmarkStart w:id="536" w:name="_Toc416692099"/>
      <w:bookmarkStart w:id="537" w:name="_Toc416692334"/>
      <w:bookmarkStart w:id="538" w:name="_Toc416692569"/>
      <w:bookmarkStart w:id="539" w:name="_Toc416692804"/>
      <w:bookmarkStart w:id="540" w:name="_Toc416693039"/>
      <w:bookmarkStart w:id="541" w:name="_Toc416693274"/>
      <w:bookmarkStart w:id="542" w:name="_Toc416693511"/>
      <w:bookmarkStart w:id="543" w:name="_Toc416693746"/>
      <w:bookmarkStart w:id="544" w:name="_Toc416693981"/>
      <w:bookmarkStart w:id="545" w:name="_Toc416694217"/>
      <w:bookmarkStart w:id="546" w:name="_Toc416694455"/>
      <w:bookmarkStart w:id="547" w:name="_Toc416696336"/>
      <w:bookmarkStart w:id="548" w:name="_Toc416686127"/>
      <w:bookmarkStart w:id="549" w:name="_Toc416686936"/>
      <w:bookmarkStart w:id="550" w:name="_Toc416687313"/>
      <w:bookmarkStart w:id="551" w:name="_Toc416687521"/>
      <w:bookmarkStart w:id="552" w:name="_Toc416687730"/>
      <w:bookmarkStart w:id="553" w:name="_Toc416687935"/>
      <w:bookmarkStart w:id="554" w:name="_Toc416689179"/>
      <w:bookmarkStart w:id="555" w:name="_Toc416689406"/>
      <w:bookmarkStart w:id="556" w:name="_Toc416689702"/>
      <w:bookmarkStart w:id="557" w:name="_Toc416690818"/>
      <w:bookmarkStart w:id="558" w:name="_Toc416691081"/>
      <w:bookmarkStart w:id="559" w:name="_Toc416691630"/>
      <w:bookmarkStart w:id="560" w:name="_Toc416691865"/>
      <w:bookmarkStart w:id="561" w:name="_Toc416692100"/>
      <w:bookmarkStart w:id="562" w:name="_Toc416692335"/>
      <w:bookmarkStart w:id="563" w:name="_Toc416692570"/>
      <w:bookmarkStart w:id="564" w:name="_Toc416692805"/>
      <w:bookmarkStart w:id="565" w:name="_Toc416693040"/>
      <w:bookmarkStart w:id="566" w:name="_Toc416693275"/>
      <w:bookmarkStart w:id="567" w:name="_Toc416693512"/>
      <w:bookmarkStart w:id="568" w:name="_Toc416693747"/>
      <w:bookmarkStart w:id="569" w:name="_Toc416693982"/>
      <w:bookmarkStart w:id="570" w:name="_Toc416694218"/>
      <w:bookmarkStart w:id="571" w:name="_Toc416694456"/>
      <w:bookmarkStart w:id="572" w:name="_Toc416696337"/>
      <w:bookmarkStart w:id="573" w:name="_Toc416686128"/>
      <w:bookmarkStart w:id="574" w:name="_Toc416686937"/>
      <w:bookmarkStart w:id="575" w:name="_Toc416687314"/>
      <w:bookmarkStart w:id="576" w:name="_Toc416687522"/>
      <w:bookmarkStart w:id="577" w:name="_Toc416687731"/>
      <w:bookmarkStart w:id="578" w:name="_Toc416687936"/>
      <w:bookmarkStart w:id="579" w:name="_Toc416689180"/>
      <w:bookmarkStart w:id="580" w:name="_Toc416689407"/>
      <w:bookmarkStart w:id="581" w:name="_Toc416689703"/>
      <w:bookmarkStart w:id="582" w:name="_Toc416690819"/>
      <w:bookmarkStart w:id="583" w:name="_Toc416691082"/>
      <w:bookmarkStart w:id="584" w:name="_Toc416691631"/>
      <w:bookmarkStart w:id="585" w:name="_Toc416691866"/>
      <w:bookmarkStart w:id="586" w:name="_Toc416692101"/>
      <w:bookmarkStart w:id="587" w:name="_Toc416692336"/>
      <w:bookmarkStart w:id="588" w:name="_Toc416692571"/>
      <w:bookmarkStart w:id="589" w:name="_Toc416692806"/>
      <w:bookmarkStart w:id="590" w:name="_Toc416693041"/>
      <w:bookmarkStart w:id="591" w:name="_Toc416693276"/>
      <w:bookmarkStart w:id="592" w:name="_Toc416693513"/>
      <w:bookmarkStart w:id="593" w:name="_Toc416693748"/>
      <w:bookmarkStart w:id="594" w:name="_Toc416693983"/>
      <w:bookmarkStart w:id="595" w:name="_Toc416694219"/>
      <w:bookmarkStart w:id="596" w:name="_Toc416694457"/>
      <w:bookmarkStart w:id="597" w:name="_Toc416696338"/>
      <w:bookmarkStart w:id="598" w:name="_Toc416686129"/>
      <w:bookmarkStart w:id="599" w:name="_Toc416686938"/>
      <w:bookmarkStart w:id="600" w:name="_Toc416687315"/>
      <w:bookmarkStart w:id="601" w:name="_Toc416687523"/>
      <w:bookmarkStart w:id="602" w:name="_Toc416687732"/>
      <w:bookmarkStart w:id="603" w:name="_Toc416687937"/>
      <w:bookmarkStart w:id="604" w:name="_Toc416689181"/>
      <w:bookmarkStart w:id="605" w:name="_Toc416689408"/>
      <w:bookmarkStart w:id="606" w:name="_Toc416689704"/>
      <w:bookmarkStart w:id="607" w:name="_Toc416690820"/>
      <w:bookmarkStart w:id="608" w:name="_Toc416691083"/>
      <w:bookmarkStart w:id="609" w:name="_Toc416691632"/>
      <w:bookmarkStart w:id="610" w:name="_Toc416691867"/>
      <w:bookmarkStart w:id="611" w:name="_Toc416692102"/>
      <w:bookmarkStart w:id="612" w:name="_Toc416692337"/>
      <w:bookmarkStart w:id="613" w:name="_Toc416692572"/>
      <w:bookmarkStart w:id="614" w:name="_Toc416692807"/>
      <w:bookmarkStart w:id="615" w:name="_Toc416693042"/>
      <w:bookmarkStart w:id="616" w:name="_Toc416693277"/>
      <w:bookmarkStart w:id="617" w:name="_Toc416693514"/>
      <w:bookmarkStart w:id="618" w:name="_Toc416693749"/>
      <w:bookmarkStart w:id="619" w:name="_Toc416693984"/>
      <w:bookmarkStart w:id="620" w:name="_Toc416694220"/>
      <w:bookmarkStart w:id="621" w:name="_Toc416694458"/>
      <w:bookmarkStart w:id="622" w:name="_Toc416696339"/>
      <w:bookmarkStart w:id="623" w:name="_Toc416686173"/>
      <w:bookmarkStart w:id="624" w:name="_Toc416687137"/>
      <w:bookmarkStart w:id="625" w:name="_Toc416687359"/>
      <w:bookmarkStart w:id="626" w:name="_Toc416687567"/>
      <w:bookmarkStart w:id="627" w:name="_Toc416687776"/>
      <w:bookmarkStart w:id="628" w:name="_Toc416687981"/>
      <w:bookmarkStart w:id="629" w:name="_Toc416689225"/>
      <w:bookmarkStart w:id="630" w:name="_Toc416689452"/>
      <w:bookmarkStart w:id="631" w:name="_Toc416689748"/>
      <w:bookmarkStart w:id="632" w:name="_Toc416690864"/>
      <w:bookmarkStart w:id="633" w:name="_Toc416691127"/>
      <w:bookmarkStart w:id="634" w:name="_Toc416691676"/>
      <w:bookmarkStart w:id="635" w:name="_Toc416691911"/>
      <w:bookmarkStart w:id="636" w:name="_Toc416692146"/>
      <w:bookmarkStart w:id="637" w:name="_Toc416692381"/>
      <w:bookmarkStart w:id="638" w:name="_Toc416692616"/>
      <w:bookmarkStart w:id="639" w:name="_Toc416692851"/>
      <w:bookmarkStart w:id="640" w:name="_Toc416693086"/>
      <w:bookmarkStart w:id="641" w:name="_Toc416693321"/>
      <w:bookmarkStart w:id="642" w:name="_Toc416693558"/>
      <w:bookmarkStart w:id="643" w:name="_Toc416693793"/>
      <w:bookmarkStart w:id="644" w:name="_Toc416694028"/>
      <w:bookmarkStart w:id="645" w:name="_Toc416694264"/>
      <w:bookmarkStart w:id="646" w:name="_Toc416694502"/>
      <w:bookmarkStart w:id="647" w:name="_Toc416696383"/>
      <w:bookmarkStart w:id="648" w:name="_Toc416781736"/>
      <w:bookmarkStart w:id="649" w:name="_Toc417299967"/>
      <w:bookmarkStart w:id="650" w:name="_Toc417374355"/>
      <w:bookmarkStart w:id="651" w:name="_Toc417458835"/>
      <w:bookmarkStart w:id="652" w:name="_Toc416684137"/>
      <w:bookmarkStart w:id="653" w:name="_Toc416684300"/>
      <w:bookmarkStart w:id="654" w:name="_Toc416684982"/>
      <w:bookmarkStart w:id="655" w:name="_Toc416685141"/>
      <w:bookmarkStart w:id="656" w:name="_Toc416685353"/>
      <w:bookmarkStart w:id="657" w:name="_Toc416685517"/>
      <w:bookmarkStart w:id="658" w:name="_Toc416685685"/>
      <w:bookmarkStart w:id="659" w:name="_Toc416689497"/>
      <w:bookmarkStart w:id="660" w:name="_Toc416689789"/>
      <w:bookmarkStart w:id="661" w:name="_Toc416690905"/>
      <w:bookmarkStart w:id="662" w:name="_Toc416691172"/>
      <w:bookmarkStart w:id="663" w:name="_Toc416691721"/>
      <w:bookmarkStart w:id="664" w:name="_Toc416691956"/>
      <w:bookmarkStart w:id="665" w:name="_Toc416692191"/>
      <w:bookmarkStart w:id="666" w:name="_Toc416692426"/>
      <w:bookmarkStart w:id="667" w:name="_Toc416692661"/>
      <w:bookmarkStart w:id="668" w:name="_Toc416692896"/>
      <w:bookmarkStart w:id="669" w:name="_Toc416693131"/>
      <w:bookmarkStart w:id="670" w:name="_Toc416693366"/>
      <w:bookmarkStart w:id="671" w:name="_Toc416693603"/>
      <w:bookmarkStart w:id="672" w:name="_Toc416693838"/>
      <w:bookmarkStart w:id="673" w:name="_Toc416694073"/>
      <w:bookmarkStart w:id="674" w:name="_Toc416694310"/>
      <w:bookmarkStart w:id="675" w:name="_Toc416694548"/>
      <w:bookmarkStart w:id="676" w:name="_Toc416696429"/>
      <w:bookmarkStart w:id="677" w:name="_Toc321139904"/>
      <w:bookmarkStart w:id="678" w:name="_Toc416444812"/>
      <w:bookmarkStart w:id="679" w:name="_Toc416446074"/>
      <w:bookmarkStart w:id="680" w:name="_Toc416447321"/>
      <w:bookmarkStart w:id="681" w:name="_Toc416449715"/>
      <w:bookmarkStart w:id="682" w:name="_Toc416450685"/>
      <w:bookmarkStart w:id="683" w:name="_Toc416450835"/>
      <w:bookmarkStart w:id="684" w:name="_Toc416675704"/>
      <w:bookmarkStart w:id="685" w:name="_Toc416682474"/>
      <w:bookmarkStart w:id="686" w:name="_Toc416682717"/>
      <w:bookmarkStart w:id="687" w:name="_Toc416682869"/>
      <w:bookmarkStart w:id="688" w:name="_Toc416683187"/>
      <w:bookmarkStart w:id="689" w:name="_Toc416684151"/>
      <w:bookmarkStart w:id="690" w:name="_Toc416684314"/>
      <w:bookmarkStart w:id="691" w:name="_Toc416684996"/>
      <w:bookmarkStart w:id="692" w:name="_Toc416685155"/>
      <w:bookmarkStart w:id="693" w:name="_Toc416685372"/>
      <w:bookmarkStart w:id="694" w:name="_Toc416685536"/>
      <w:bookmarkStart w:id="695" w:name="_Toc416685704"/>
      <w:bookmarkStart w:id="696" w:name="_Toc416685854"/>
      <w:bookmarkStart w:id="697" w:name="_Toc416686004"/>
      <w:bookmarkStart w:id="698" w:name="_Toc416686220"/>
      <w:bookmarkStart w:id="699" w:name="_Toc416686371"/>
      <w:bookmarkStart w:id="700" w:name="_Toc416686522"/>
      <w:bookmarkStart w:id="701" w:name="_Toc416686677"/>
      <w:bookmarkStart w:id="702" w:name="_Toc416686832"/>
      <w:bookmarkStart w:id="703" w:name="_Toc416686990"/>
      <w:bookmarkStart w:id="704" w:name="_Toc416687190"/>
      <w:bookmarkStart w:id="705" w:name="_Toc416688030"/>
      <w:bookmarkStart w:id="706" w:name="_Toc416689278"/>
      <w:bookmarkStart w:id="707" w:name="_Toc416689517"/>
      <w:bookmarkStart w:id="708" w:name="_Toc416689809"/>
      <w:bookmarkStart w:id="709" w:name="_Toc416690925"/>
      <w:bookmarkStart w:id="710" w:name="_Toc416691192"/>
      <w:bookmarkStart w:id="711" w:name="_Toc416691741"/>
      <w:bookmarkStart w:id="712" w:name="_Toc416691976"/>
      <w:bookmarkStart w:id="713" w:name="_Toc416692211"/>
      <w:bookmarkStart w:id="714" w:name="_Toc416692446"/>
      <w:bookmarkStart w:id="715" w:name="_Toc416692681"/>
      <w:bookmarkStart w:id="716" w:name="_Toc416692916"/>
      <w:bookmarkStart w:id="717" w:name="_Toc416693151"/>
      <w:bookmarkStart w:id="718" w:name="_Toc416693386"/>
      <w:bookmarkStart w:id="719" w:name="_Toc416693623"/>
      <w:bookmarkStart w:id="720" w:name="_Toc416693858"/>
      <w:bookmarkStart w:id="721" w:name="_Toc416694093"/>
      <w:bookmarkStart w:id="722" w:name="_Toc416694330"/>
      <w:bookmarkStart w:id="723" w:name="_Toc416694568"/>
      <w:bookmarkStart w:id="724" w:name="_Toc416696449"/>
      <w:bookmarkStart w:id="725" w:name="_Toc416444813"/>
      <w:bookmarkStart w:id="726" w:name="_Toc416446075"/>
      <w:bookmarkStart w:id="727" w:name="_Toc416447322"/>
      <w:bookmarkStart w:id="728" w:name="_Toc416449716"/>
      <w:bookmarkStart w:id="729" w:name="_Toc416450686"/>
      <w:bookmarkStart w:id="730" w:name="_Toc416450836"/>
      <w:bookmarkStart w:id="731" w:name="_Toc416675705"/>
      <w:bookmarkStart w:id="732" w:name="_Toc416682475"/>
      <w:bookmarkStart w:id="733" w:name="_Toc416682718"/>
      <w:bookmarkStart w:id="734" w:name="_Toc416682870"/>
      <w:bookmarkStart w:id="735" w:name="_Toc416683188"/>
      <w:bookmarkStart w:id="736" w:name="_Toc416684152"/>
      <w:bookmarkStart w:id="737" w:name="_Toc416684315"/>
      <w:bookmarkStart w:id="738" w:name="_Toc416684997"/>
      <w:bookmarkStart w:id="739" w:name="_Toc416685156"/>
      <w:bookmarkStart w:id="740" w:name="_Toc416685373"/>
      <w:bookmarkStart w:id="741" w:name="_Toc416685537"/>
      <w:bookmarkStart w:id="742" w:name="_Toc416685705"/>
      <w:bookmarkStart w:id="743" w:name="_Toc416685855"/>
      <w:bookmarkStart w:id="744" w:name="_Toc416686005"/>
      <w:bookmarkStart w:id="745" w:name="_Toc416686221"/>
      <w:bookmarkStart w:id="746" w:name="_Toc416686372"/>
      <w:bookmarkStart w:id="747" w:name="_Toc416686523"/>
      <w:bookmarkStart w:id="748" w:name="_Toc416686678"/>
      <w:bookmarkStart w:id="749" w:name="_Toc416686833"/>
      <w:bookmarkStart w:id="750" w:name="_Toc416686991"/>
      <w:bookmarkStart w:id="751" w:name="_Toc416687191"/>
      <w:bookmarkStart w:id="752" w:name="_Toc416688031"/>
      <w:bookmarkStart w:id="753" w:name="_Toc416689279"/>
      <w:bookmarkStart w:id="754" w:name="_Toc416689518"/>
      <w:bookmarkStart w:id="755" w:name="_Toc416689810"/>
      <w:bookmarkStart w:id="756" w:name="_Toc416690926"/>
      <w:bookmarkStart w:id="757" w:name="_Toc416691193"/>
      <w:bookmarkStart w:id="758" w:name="_Toc416691742"/>
      <w:bookmarkStart w:id="759" w:name="_Toc416691977"/>
      <w:bookmarkStart w:id="760" w:name="_Toc416692212"/>
      <w:bookmarkStart w:id="761" w:name="_Toc416692447"/>
      <w:bookmarkStart w:id="762" w:name="_Toc416692682"/>
      <w:bookmarkStart w:id="763" w:name="_Toc416692917"/>
      <w:bookmarkStart w:id="764" w:name="_Toc416693152"/>
      <w:bookmarkStart w:id="765" w:name="_Toc416693387"/>
      <w:bookmarkStart w:id="766" w:name="_Toc416693624"/>
      <w:bookmarkStart w:id="767" w:name="_Toc416693859"/>
      <w:bookmarkStart w:id="768" w:name="_Toc416694094"/>
      <w:bookmarkStart w:id="769" w:name="_Toc416694331"/>
      <w:bookmarkStart w:id="770" w:name="_Toc416694569"/>
      <w:bookmarkStart w:id="771" w:name="_Toc416696450"/>
      <w:bookmarkStart w:id="772" w:name="_Toc416444814"/>
      <w:bookmarkStart w:id="773" w:name="_Toc416446076"/>
      <w:bookmarkStart w:id="774" w:name="_Toc416447323"/>
      <w:bookmarkStart w:id="775" w:name="_Toc416449717"/>
      <w:bookmarkStart w:id="776" w:name="_Toc416450687"/>
      <w:bookmarkStart w:id="777" w:name="_Toc416450837"/>
      <w:bookmarkStart w:id="778" w:name="_Toc416675706"/>
      <w:bookmarkStart w:id="779" w:name="_Toc416682476"/>
      <w:bookmarkStart w:id="780" w:name="_Toc416682719"/>
      <w:bookmarkStart w:id="781" w:name="_Toc416682871"/>
      <w:bookmarkStart w:id="782" w:name="_Toc416683189"/>
      <w:bookmarkStart w:id="783" w:name="_Toc416684153"/>
      <w:bookmarkStart w:id="784" w:name="_Toc416684316"/>
      <w:bookmarkStart w:id="785" w:name="_Toc416684998"/>
      <w:bookmarkStart w:id="786" w:name="_Toc416685157"/>
      <w:bookmarkStart w:id="787" w:name="_Toc416685374"/>
      <w:bookmarkStart w:id="788" w:name="_Toc416685538"/>
      <w:bookmarkStart w:id="789" w:name="_Toc416685706"/>
      <w:bookmarkStart w:id="790" w:name="_Toc416685856"/>
      <w:bookmarkStart w:id="791" w:name="_Toc416686006"/>
      <w:bookmarkStart w:id="792" w:name="_Toc416686222"/>
      <w:bookmarkStart w:id="793" w:name="_Toc416686373"/>
      <w:bookmarkStart w:id="794" w:name="_Toc416686524"/>
      <w:bookmarkStart w:id="795" w:name="_Toc416686679"/>
      <w:bookmarkStart w:id="796" w:name="_Toc416686834"/>
      <w:bookmarkStart w:id="797" w:name="_Toc416686992"/>
      <w:bookmarkStart w:id="798" w:name="_Toc416687192"/>
      <w:bookmarkStart w:id="799" w:name="_Toc416688032"/>
      <w:bookmarkStart w:id="800" w:name="_Toc416689280"/>
      <w:bookmarkStart w:id="801" w:name="_Toc416689519"/>
      <w:bookmarkStart w:id="802" w:name="_Toc416689811"/>
      <w:bookmarkStart w:id="803" w:name="_Toc416690927"/>
      <w:bookmarkStart w:id="804" w:name="_Toc416691194"/>
      <w:bookmarkStart w:id="805" w:name="_Toc416691743"/>
      <w:bookmarkStart w:id="806" w:name="_Toc416691978"/>
      <w:bookmarkStart w:id="807" w:name="_Toc416692213"/>
      <w:bookmarkStart w:id="808" w:name="_Toc416692448"/>
      <w:bookmarkStart w:id="809" w:name="_Toc416692683"/>
      <w:bookmarkStart w:id="810" w:name="_Toc416692918"/>
      <w:bookmarkStart w:id="811" w:name="_Toc416693153"/>
      <w:bookmarkStart w:id="812" w:name="_Toc416693388"/>
      <w:bookmarkStart w:id="813" w:name="_Toc416693625"/>
      <w:bookmarkStart w:id="814" w:name="_Toc416693860"/>
      <w:bookmarkStart w:id="815" w:name="_Toc416694095"/>
      <w:bookmarkStart w:id="816" w:name="_Toc416694332"/>
      <w:bookmarkStart w:id="817" w:name="_Toc416694570"/>
      <w:bookmarkStart w:id="818" w:name="_Toc416696451"/>
      <w:bookmarkStart w:id="819" w:name="_Toc416444815"/>
      <w:bookmarkStart w:id="820" w:name="_Toc416446077"/>
      <w:bookmarkStart w:id="821" w:name="_Toc416447324"/>
      <w:bookmarkStart w:id="822" w:name="_Toc416449718"/>
      <w:bookmarkStart w:id="823" w:name="_Toc416450688"/>
      <w:bookmarkStart w:id="824" w:name="_Toc416450838"/>
      <w:bookmarkStart w:id="825" w:name="_Toc416675707"/>
      <w:bookmarkStart w:id="826" w:name="_Toc416682477"/>
      <w:bookmarkStart w:id="827" w:name="_Toc416682720"/>
      <w:bookmarkStart w:id="828" w:name="_Toc416682872"/>
      <w:bookmarkStart w:id="829" w:name="_Toc416683190"/>
      <w:bookmarkStart w:id="830" w:name="_Toc416684154"/>
      <w:bookmarkStart w:id="831" w:name="_Toc416684317"/>
      <w:bookmarkStart w:id="832" w:name="_Toc416684999"/>
      <w:bookmarkStart w:id="833" w:name="_Toc416685158"/>
      <w:bookmarkStart w:id="834" w:name="_Toc416685375"/>
      <w:bookmarkStart w:id="835" w:name="_Toc416685539"/>
      <w:bookmarkStart w:id="836" w:name="_Toc416685707"/>
      <w:bookmarkStart w:id="837" w:name="_Toc416685857"/>
      <w:bookmarkStart w:id="838" w:name="_Toc416686007"/>
      <w:bookmarkStart w:id="839" w:name="_Toc416686223"/>
      <w:bookmarkStart w:id="840" w:name="_Toc416686374"/>
      <w:bookmarkStart w:id="841" w:name="_Toc416686525"/>
      <w:bookmarkStart w:id="842" w:name="_Toc416686680"/>
      <w:bookmarkStart w:id="843" w:name="_Toc416686835"/>
      <w:bookmarkStart w:id="844" w:name="_Toc416686993"/>
      <w:bookmarkStart w:id="845" w:name="_Toc416687193"/>
      <w:bookmarkStart w:id="846" w:name="_Toc416688033"/>
      <w:bookmarkStart w:id="847" w:name="_Toc416689281"/>
      <w:bookmarkStart w:id="848" w:name="_Toc416689520"/>
      <w:bookmarkStart w:id="849" w:name="_Toc416689812"/>
      <w:bookmarkStart w:id="850" w:name="_Toc416690928"/>
      <w:bookmarkStart w:id="851" w:name="_Toc416691195"/>
      <w:bookmarkStart w:id="852" w:name="_Toc416691744"/>
      <w:bookmarkStart w:id="853" w:name="_Toc416691979"/>
      <w:bookmarkStart w:id="854" w:name="_Toc416692214"/>
      <w:bookmarkStart w:id="855" w:name="_Toc416692449"/>
      <w:bookmarkStart w:id="856" w:name="_Toc416692684"/>
      <w:bookmarkStart w:id="857" w:name="_Toc416692919"/>
      <w:bookmarkStart w:id="858" w:name="_Toc416693154"/>
      <w:bookmarkStart w:id="859" w:name="_Toc416693389"/>
      <w:bookmarkStart w:id="860" w:name="_Toc416693626"/>
      <w:bookmarkStart w:id="861" w:name="_Toc416693861"/>
      <w:bookmarkStart w:id="862" w:name="_Toc416694096"/>
      <w:bookmarkStart w:id="863" w:name="_Toc416694333"/>
      <w:bookmarkStart w:id="864" w:name="_Toc416694571"/>
      <w:bookmarkStart w:id="865" w:name="_Toc416696452"/>
      <w:bookmarkStart w:id="866" w:name="_Toc321146805"/>
      <w:bookmarkStart w:id="867" w:name="_Toc321148180"/>
      <w:bookmarkStart w:id="868" w:name="_Toc321200619"/>
      <w:bookmarkStart w:id="869" w:name="_Toc321200668"/>
      <w:bookmarkStart w:id="870" w:name="_Toc321201298"/>
      <w:bookmarkStart w:id="871" w:name="_Toc321201551"/>
      <w:bookmarkStart w:id="872" w:name="_Toc321259026"/>
      <w:bookmarkStart w:id="873" w:name="_Toc321408922"/>
      <w:bookmarkStart w:id="874" w:name="_Toc321409021"/>
      <w:bookmarkStart w:id="875" w:name="_Toc321409114"/>
      <w:bookmarkStart w:id="876" w:name="_Toc416444820"/>
      <w:bookmarkStart w:id="877" w:name="_Toc416446082"/>
      <w:bookmarkStart w:id="878" w:name="_Ref84315167"/>
      <w:bookmarkStart w:id="879" w:name="_Toc86419518"/>
      <w:bookmarkEnd w:id="79"/>
      <w:bookmarkEnd w:id="80"/>
      <w:bookmarkEnd w:id="81"/>
      <w:bookmarkEnd w:id="82"/>
      <w:bookmarkEnd w:id="83"/>
      <w:bookmarkEnd w:id="84"/>
      <w:bookmarkEnd w:id="85"/>
      <w:bookmarkEnd w:id="86"/>
      <w:bookmarkEnd w:id="87"/>
      <w:bookmarkEnd w:id="88"/>
      <w:bookmarkEnd w:id="89"/>
      <w:bookmarkEnd w:id="90"/>
      <w:bookmarkEnd w:id="91"/>
      <w:bookmarkEnd w:id="92"/>
      <w:bookmarkEnd w:id="93"/>
      <w:bookmarkEnd w:id="94"/>
      <w:bookmarkEnd w:id="95"/>
      <w:bookmarkEnd w:id="96"/>
      <w:bookmarkEnd w:id="97"/>
      <w:bookmarkEnd w:id="98"/>
      <w:bookmarkEnd w:id="99"/>
      <w:bookmarkEnd w:id="100"/>
      <w:bookmarkEnd w:id="101"/>
      <w:bookmarkEnd w:id="102"/>
      <w:bookmarkEnd w:id="103"/>
      <w:bookmarkEnd w:id="104"/>
      <w:bookmarkEnd w:id="105"/>
      <w:bookmarkEnd w:id="106"/>
      <w:bookmarkEnd w:id="107"/>
      <w:bookmarkEnd w:id="108"/>
      <w:bookmarkEnd w:id="109"/>
      <w:bookmarkEnd w:id="110"/>
      <w:bookmarkEnd w:id="111"/>
      <w:bookmarkEnd w:id="112"/>
      <w:bookmarkEnd w:id="113"/>
      <w:bookmarkEnd w:id="114"/>
      <w:bookmarkEnd w:id="115"/>
      <w:bookmarkEnd w:id="116"/>
      <w:bookmarkEnd w:id="117"/>
      <w:bookmarkEnd w:id="118"/>
      <w:bookmarkEnd w:id="119"/>
      <w:bookmarkEnd w:id="120"/>
      <w:bookmarkEnd w:id="121"/>
      <w:bookmarkEnd w:id="122"/>
      <w:bookmarkEnd w:id="123"/>
      <w:bookmarkEnd w:id="124"/>
      <w:bookmarkEnd w:id="125"/>
      <w:bookmarkEnd w:id="126"/>
      <w:bookmarkEnd w:id="127"/>
      <w:bookmarkEnd w:id="128"/>
      <w:bookmarkEnd w:id="129"/>
      <w:bookmarkEnd w:id="130"/>
      <w:bookmarkEnd w:id="131"/>
      <w:bookmarkEnd w:id="132"/>
      <w:bookmarkEnd w:id="133"/>
      <w:bookmarkEnd w:id="134"/>
      <w:bookmarkEnd w:id="135"/>
      <w:bookmarkEnd w:id="136"/>
      <w:bookmarkEnd w:id="137"/>
      <w:bookmarkEnd w:id="138"/>
      <w:bookmarkEnd w:id="139"/>
      <w:bookmarkEnd w:id="140"/>
      <w:bookmarkEnd w:id="141"/>
      <w:bookmarkEnd w:id="142"/>
      <w:bookmarkEnd w:id="143"/>
      <w:bookmarkEnd w:id="144"/>
      <w:bookmarkEnd w:id="145"/>
      <w:bookmarkEnd w:id="146"/>
      <w:bookmarkEnd w:id="147"/>
      <w:bookmarkEnd w:id="148"/>
      <w:bookmarkEnd w:id="149"/>
      <w:bookmarkEnd w:id="150"/>
      <w:bookmarkEnd w:id="151"/>
      <w:bookmarkEnd w:id="152"/>
      <w:bookmarkEnd w:id="153"/>
      <w:bookmarkEnd w:id="154"/>
      <w:bookmarkEnd w:id="155"/>
      <w:bookmarkEnd w:id="156"/>
      <w:bookmarkEnd w:id="157"/>
      <w:bookmarkEnd w:id="158"/>
      <w:bookmarkEnd w:id="159"/>
      <w:bookmarkEnd w:id="160"/>
      <w:bookmarkEnd w:id="161"/>
      <w:bookmarkEnd w:id="162"/>
      <w:bookmarkEnd w:id="163"/>
      <w:bookmarkEnd w:id="164"/>
      <w:bookmarkEnd w:id="165"/>
      <w:bookmarkEnd w:id="166"/>
      <w:bookmarkEnd w:id="167"/>
      <w:bookmarkEnd w:id="168"/>
      <w:bookmarkEnd w:id="169"/>
      <w:bookmarkEnd w:id="170"/>
      <w:bookmarkEnd w:id="171"/>
      <w:bookmarkEnd w:id="172"/>
      <w:bookmarkEnd w:id="173"/>
      <w:bookmarkEnd w:id="174"/>
      <w:bookmarkEnd w:id="175"/>
      <w:bookmarkEnd w:id="176"/>
      <w:bookmarkEnd w:id="177"/>
      <w:bookmarkEnd w:id="178"/>
      <w:bookmarkEnd w:id="179"/>
      <w:bookmarkEnd w:id="180"/>
      <w:bookmarkEnd w:id="181"/>
      <w:bookmarkEnd w:id="182"/>
      <w:bookmarkEnd w:id="183"/>
      <w:bookmarkEnd w:id="184"/>
      <w:bookmarkEnd w:id="185"/>
      <w:bookmarkEnd w:id="186"/>
      <w:bookmarkEnd w:id="187"/>
      <w:bookmarkEnd w:id="188"/>
      <w:bookmarkEnd w:id="189"/>
      <w:bookmarkEnd w:id="190"/>
      <w:bookmarkEnd w:id="191"/>
      <w:bookmarkEnd w:id="192"/>
      <w:bookmarkEnd w:id="193"/>
      <w:bookmarkEnd w:id="194"/>
      <w:bookmarkEnd w:id="195"/>
      <w:bookmarkEnd w:id="196"/>
      <w:bookmarkEnd w:id="197"/>
      <w:bookmarkEnd w:id="198"/>
      <w:bookmarkEnd w:id="199"/>
      <w:bookmarkEnd w:id="200"/>
      <w:bookmarkEnd w:id="201"/>
      <w:bookmarkEnd w:id="202"/>
      <w:bookmarkEnd w:id="203"/>
      <w:bookmarkEnd w:id="204"/>
      <w:bookmarkEnd w:id="205"/>
      <w:bookmarkEnd w:id="206"/>
      <w:bookmarkEnd w:id="207"/>
      <w:bookmarkEnd w:id="208"/>
      <w:bookmarkEnd w:id="209"/>
      <w:bookmarkEnd w:id="210"/>
      <w:bookmarkEnd w:id="211"/>
      <w:bookmarkEnd w:id="212"/>
      <w:bookmarkEnd w:id="213"/>
      <w:bookmarkEnd w:id="214"/>
      <w:bookmarkEnd w:id="215"/>
      <w:bookmarkEnd w:id="216"/>
      <w:bookmarkEnd w:id="217"/>
      <w:bookmarkEnd w:id="218"/>
      <w:bookmarkEnd w:id="219"/>
      <w:bookmarkEnd w:id="220"/>
      <w:bookmarkEnd w:id="221"/>
      <w:bookmarkEnd w:id="222"/>
      <w:bookmarkEnd w:id="223"/>
      <w:bookmarkEnd w:id="224"/>
      <w:bookmarkEnd w:id="225"/>
      <w:bookmarkEnd w:id="226"/>
      <w:bookmarkEnd w:id="227"/>
      <w:bookmarkEnd w:id="228"/>
      <w:bookmarkEnd w:id="229"/>
      <w:bookmarkEnd w:id="230"/>
      <w:bookmarkEnd w:id="231"/>
      <w:bookmarkEnd w:id="232"/>
      <w:bookmarkEnd w:id="233"/>
      <w:bookmarkEnd w:id="234"/>
      <w:bookmarkEnd w:id="235"/>
      <w:bookmarkEnd w:id="236"/>
      <w:bookmarkEnd w:id="237"/>
      <w:bookmarkEnd w:id="238"/>
      <w:bookmarkEnd w:id="239"/>
      <w:bookmarkEnd w:id="240"/>
      <w:bookmarkEnd w:id="241"/>
      <w:bookmarkEnd w:id="242"/>
      <w:bookmarkEnd w:id="243"/>
      <w:bookmarkEnd w:id="244"/>
      <w:bookmarkEnd w:id="245"/>
      <w:bookmarkEnd w:id="246"/>
      <w:bookmarkEnd w:id="247"/>
      <w:bookmarkEnd w:id="248"/>
      <w:bookmarkEnd w:id="249"/>
      <w:bookmarkEnd w:id="250"/>
      <w:bookmarkEnd w:id="251"/>
      <w:bookmarkEnd w:id="252"/>
      <w:bookmarkEnd w:id="253"/>
      <w:bookmarkEnd w:id="254"/>
      <w:bookmarkEnd w:id="255"/>
      <w:bookmarkEnd w:id="256"/>
      <w:bookmarkEnd w:id="257"/>
      <w:bookmarkEnd w:id="258"/>
      <w:bookmarkEnd w:id="259"/>
      <w:bookmarkEnd w:id="260"/>
      <w:bookmarkEnd w:id="261"/>
      <w:bookmarkEnd w:id="262"/>
      <w:bookmarkEnd w:id="263"/>
      <w:bookmarkEnd w:id="264"/>
      <w:bookmarkEnd w:id="265"/>
      <w:bookmarkEnd w:id="266"/>
      <w:bookmarkEnd w:id="267"/>
      <w:bookmarkEnd w:id="268"/>
      <w:bookmarkEnd w:id="269"/>
      <w:bookmarkEnd w:id="270"/>
      <w:bookmarkEnd w:id="271"/>
      <w:bookmarkEnd w:id="272"/>
      <w:bookmarkEnd w:id="273"/>
      <w:bookmarkEnd w:id="274"/>
      <w:bookmarkEnd w:id="275"/>
      <w:bookmarkEnd w:id="276"/>
      <w:bookmarkEnd w:id="277"/>
      <w:bookmarkEnd w:id="278"/>
      <w:bookmarkEnd w:id="279"/>
      <w:bookmarkEnd w:id="280"/>
      <w:bookmarkEnd w:id="281"/>
      <w:bookmarkEnd w:id="282"/>
      <w:bookmarkEnd w:id="283"/>
      <w:bookmarkEnd w:id="284"/>
      <w:bookmarkEnd w:id="285"/>
      <w:bookmarkEnd w:id="286"/>
      <w:bookmarkEnd w:id="287"/>
      <w:bookmarkEnd w:id="288"/>
      <w:bookmarkEnd w:id="289"/>
      <w:bookmarkEnd w:id="290"/>
      <w:bookmarkEnd w:id="291"/>
      <w:bookmarkEnd w:id="292"/>
      <w:bookmarkEnd w:id="293"/>
      <w:bookmarkEnd w:id="294"/>
      <w:bookmarkEnd w:id="295"/>
      <w:bookmarkEnd w:id="296"/>
      <w:bookmarkEnd w:id="297"/>
      <w:bookmarkEnd w:id="298"/>
      <w:bookmarkEnd w:id="299"/>
      <w:bookmarkEnd w:id="300"/>
      <w:bookmarkEnd w:id="301"/>
      <w:bookmarkEnd w:id="302"/>
      <w:bookmarkEnd w:id="303"/>
      <w:bookmarkEnd w:id="304"/>
      <w:bookmarkEnd w:id="305"/>
      <w:bookmarkEnd w:id="306"/>
      <w:bookmarkEnd w:id="307"/>
      <w:bookmarkEnd w:id="308"/>
      <w:bookmarkEnd w:id="309"/>
      <w:bookmarkEnd w:id="310"/>
      <w:bookmarkEnd w:id="311"/>
      <w:bookmarkEnd w:id="312"/>
      <w:bookmarkEnd w:id="313"/>
      <w:bookmarkEnd w:id="314"/>
      <w:bookmarkEnd w:id="315"/>
      <w:bookmarkEnd w:id="316"/>
      <w:bookmarkEnd w:id="317"/>
      <w:bookmarkEnd w:id="318"/>
      <w:bookmarkEnd w:id="319"/>
      <w:bookmarkEnd w:id="320"/>
      <w:bookmarkEnd w:id="321"/>
      <w:bookmarkEnd w:id="322"/>
      <w:bookmarkEnd w:id="323"/>
      <w:bookmarkEnd w:id="324"/>
      <w:bookmarkEnd w:id="325"/>
      <w:bookmarkEnd w:id="326"/>
      <w:bookmarkEnd w:id="327"/>
      <w:bookmarkEnd w:id="328"/>
      <w:bookmarkEnd w:id="329"/>
      <w:bookmarkEnd w:id="330"/>
      <w:bookmarkEnd w:id="331"/>
      <w:bookmarkEnd w:id="332"/>
      <w:bookmarkEnd w:id="333"/>
      <w:bookmarkEnd w:id="334"/>
      <w:bookmarkEnd w:id="335"/>
      <w:bookmarkEnd w:id="336"/>
      <w:bookmarkEnd w:id="337"/>
      <w:bookmarkEnd w:id="338"/>
      <w:bookmarkEnd w:id="339"/>
      <w:bookmarkEnd w:id="340"/>
      <w:bookmarkEnd w:id="341"/>
      <w:bookmarkEnd w:id="342"/>
      <w:bookmarkEnd w:id="343"/>
      <w:bookmarkEnd w:id="344"/>
      <w:bookmarkEnd w:id="345"/>
      <w:bookmarkEnd w:id="346"/>
      <w:bookmarkEnd w:id="347"/>
      <w:bookmarkEnd w:id="348"/>
      <w:bookmarkEnd w:id="349"/>
      <w:bookmarkEnd w:id="350"/>
      <w:bookmarkEnd w:id="351"/>
      <w:bookmarkEnd w:id="352"/>
      <w:bookmarkEnd w:id="353"/>
      <w:bookmarkEnd w:id="354"/>
      <w:bookmarkEnd w:id="355"/>
      <w:bookmarkEnd w:id="356"/>
      <w:bookmarkEnd w:id="357"/>
      <w:bookmarkEnd w:id="358"/>
      <w:bookmarkEnd w:id="359"/>
      <w:bookmarkEnd w:id="360"/>
      <w:bookmarkEnd w:id="361"/>
      <w:bookmarkEnd w:id="362"/>
      <w:bookmarkEnd w:id="363"/>
      <w:bookmarkEnd w:id="364"/>
      <w:bookmarkEnd w:id="365"/>
      <w:bookmarkEnd w:id="366"/>
      <w:bookmarkEnd w:id="367"/>
      <w:bookmarkEnd w:id="368"/>
      <w:bookmarkEnd w:id="369"/>
      <w:bookmarkEnd w:id="370"/>
      <w:bookmarkEnd w:id="371"/>
      <w:bookmarkEnd w:id="372"/>
      <w:bookmarkEnd w:id="373"/>
      <w:bookmarkEnd w:id="374"/>
      <w:bookmarkEnd w:id="375"/>
      <w:bookmarkEnd w:id="376"/>
      <w:bookmarkEnd w:id="377"/>
      <w:bookmarkEnd w:id="378"/>
      <w:bookmarkEnd w:id="379"/>
      <w:bookmarkEnd w:id="380"/>
      <w:bookmarkEnd w:id="381"/>
      <w:bookmarkEnd w:id="382"/>
      <w:bookmarkEnd w:id="383"/>
      <w:bookmarkEnd w:id="384"/>
      <w:bookmarkEnd w:id="385"/>
      <w:bookmarkEnd w:id="386"/>
      <w:bookmarkEnd w:id="387"/>
      <w:bookmarkEnd w:id="388"/>
      <w:bookmarkEnd w:id="389"/>
      <w:bookmarkEnd w:id="390"/>
      <w:bookmarkEnd w:id="391"/>
      <w:bookmarkEnd w:id="392"/>
      <w:bookmarkEnd w:id="393"/>
      <w:bookmarkEnd w:id="394"/>
      <w:bookmarkEnd w:id="395"/>
      <w:bookmarkEnd w:id="396"/>
      <w:bookmarkEnd w:id="397"/>
      <w:bookmarkEnd w:id="398"/>
      <w:bookmarkEnd w:id="399"/>
      <w:bookmarkEnd w:id="400"/>
      <w:bookmarkEnd w:id="401"/>
      <w:bookmarkEnd w:id="402"/>
      <w:bookmarkEnd w:id="403"/>
      <w:bookmarkEnd w:id="404"/>
      <w:bookmarkEnd w:id="405"/>
      <w:bookmarkEnd w:id="406"/>
      <w:bookmarkEnd w:id="407"/>
      <w:bookmarkEnd w:id="408"/>
      <w:bookmarkEnd w:id="409"/>
      <w:bookmarkEnd w:id="410"/>
      <w:bookmarkEnd w:id="411"/>
      <w:bookmarkEnd w:id="412"/>
      <w:bookmarkEnd w:id="413"/>
      <w:bookmarkEnd w:id="414"/>
      <w:bookmarkEnd w:id="415"/>
      <w:bookmarkEnd w:id="416"/>
      <w:bookmarkEnd w:id="417"/>
      <w:bookmarkEnd w:id="418"/>
      <w:bookmarkEnd w:id="419"/>
      <w:bookmarkEnd w:id="420"/>
      <w:bookmarkEnd w:id="421"/>
      <w:bookmarkEnd w:id="422"/>
      <w:bookmarkEnd w:id="423"/>
      <w:bookmarkEnd w:id="424"/>
      <w:bookmarkEnd w:id="425"/>
      <w:bookmarkEnd w:id="426"/>
      <w:bookmarkEnd w:id="427"/>
      <w:bookmarkEnd w:id="428"/>
      <w:bookmarkEnd w:id="429"/>
      <w:bookmarkEnd w:id="430"/>
      <w:bookmarkEnd w:id="431"/>
      <w:bookmarkEnd w:id="432"/>
      <w:bookmarkEnd w:id="433"/>
      <w:bookmarkEnd w:id="434"/>
      <w:bookmarkEnd w:id="435"/>
      <w:bookmarkEnd w:id="436"/>
      <w:bookmarkEnd w:id="437"/>
      <w:bookmarkEnd w:id="438"/>
      <w:bookmarkEnd w:id="439"/>
      <w:bookmarkEnd w:id="440"/>
      <w:bookmarkEnd w:id="441"/>
      <w:bookmarkEnd w:id="442"/>
      <w:bookmarkEnd w:id="443"/>
      <w:bookmarkEnd w:id="444"/>
      <w:bookmarkEnd w:id="445"/>
      <w:bookmarkEnd w:id="446"/>
      <w:bookmarkEnd w:id="447"/>
      <w:bookmarkEnd w:id="448"/>
      <w:bookmarkEnd w:id="449"/>
      <w:bookmarkEnd w:id="450"/>
      <w:bookmarkEnd w:id="451"/>
      <w:bookmarkEnd w:id="452"/>
      <w:bookmarkEnd w:id="453"/>
      <w:bookmarkEnd w:id="454"/>
      <w:bookmarkEnd w:id="455"/>
      <w:bookmarkEnd w:id="456"/>
      <w:bookmarkEnd w:id="457"/>
      <w:bookmarkEnd w:id="458"/>
      <w:bookmarkEnd w:id="459"/>
      <w:bookmarkEnd w:id="460"/>
      <w:bookmarkEnd w:id="461"/>
      <w:bookmarkEnd w:id="462"/>
      <w:bookmarkEnd w:id="463"/>
      <w:bookmarkEnd w:id="464"/>
      <w:bookmarkEnd w:id="465"/>
      <w:bookmarkEnd w:id="466"/>
      <w:bookmarkEnd w:id="467"/>
      <w:bookmarkEnd w:id="468"/>
      <w:bookmarkEnd w:id="469"/>
      <w:bookmarkEnd w:id="470"/>
      <w:bookmarkEnd w:id="471"/>
      <w:bookmarkEnd w:id="472"/>
      <w:bookmarkEnd w:id="473"/>
      <w:bookmarkEnd w:id="474"/>
      <w:bookmarkEnd w:id="475"/>
      <w:bookmarkEnd w:id="476"/>
      <w:bookmarkEnd w:id="477"/>
      <w:bookmarkEnd w:id="478"/>
      <w:bookmarkEnd w:id="479"/>
      <w:bookmarkEnd w:id="480"/>
      <w:bookmarkEnd w:id="481"/>
      <w:bookmarkEnd w:id="482"/>
      <w:bookmarkEnd w:id="483"/>
      <w:bookmarkEnd w:id="484"/>
      <w:bookmarkEnd w:id="485"/>
      <w:bookmarkEnd w:id="486"/>
      <w:bookmarkEnd w:id="487"/>
      <w:bookmarkEnd w:id="488"/>
      <w:bookmarkEnd w:id="489"/>
      <w:bookmarkEnd w:id="490"/>
      <w:bookmarkEnd w:id="491"/>
      <w:bookmarkEnd w:id="492"/>
      <w:bookmarkEnd w:id="493"/>
      <w:bookmarkEnd w:id="494"/>
      <w:bookmarkEnd w:id="495"/>
      <w:bookmarkEnd w:id="496"/>
      <w:bookmarkEnd w:id="497"/>
      <w:bookmarkEnd w:id="498"/>
      <w:bookmarkEnd w:id="499"/>
      <w:bookmarkEnd w:id="500"/>
      <w:bookmarkEnd w:id="501"/>
      <w:bookmarkEnd w:id="502"/>
      <w:bookmarkEnd w:id="503"/>
      <w:bookmarkEnd w:id="504"/>
      <w:bookmarkEnd w:id="505"/>
      <w:bookmarkEnd w:id="506"/>
      <w:bookmarkEnd w:id="507"/>
      <w:bookmarkEnd w:id="508"/>
      <w:bookmarkEnd w:id="509"/>
      <w:bookmarkEnd w:id="510"/>
      <w:bookmarkEnd w:id="511"/>
      <w:bookmarkEnd w:id="512"/>
      <w:bookmarkEnd w:id="513"/>
      <w:bookmarkEnd w:id="514"/>
      <w:bookmarkEnd w:id="515"/>
      <w:bookmarkEnd w:id="516"/>
      <w:bookmarkEnd w:id="517"/>
      <w:bookmarkEnd w:id="518"/>
      <w:bookmarkEnd w:id="519"/>
      <w:bookmarkEnd w:id="520"/>
      <w:bookmarkEnd w:id="521"/>
      <w:bookmarkEnd w:id="522"/>
      <w:bookmarkEnd w:id="523"/>
      <w:bookmarkEnd w:id="524"/>
      <w:bookmarkEnd w:id="525"/>
      <w:bookmarkEnd w:id="526"/>
      <w:bookmarkEnd w:id="527"/>
      <w:bookmarkEnd w:id="528"/>
      <w:bookmarkEnd w:id="529"/>
      <w:bookmarkEnd w:id="530"/>
      <w:bookmarkEnd w:id="531"/>
      <w:bookmarkEnd w:id="532"/>
      <w:bookmarkEnd w:id="533"/>
      <w:bookmarkEnd w:id="534"/>
      <w:bookmarkEnd w:id="535"/>
      <w:bookmarkEnd w:id="536"/>
      <w:bookmarkEnd w:id="537"/>
      <w:bookmarkEnd w:id="538"/>
      <w:bookmarkEnd w:id="539"/>
      <w:bookmarkEnd w:id="540"/>
      <w:bookmarkEnd w:id="541"/>
      <w:bookmarkEnd w:id="542"/>
      <w:bookmarkEnd w:id="543"/>
      <w:bookmarkEnd w:id="544"/>
      <w:bookmarkEnd w:id="545"/>
      <w:bookmarkEnd w:id="546"/>
      <w:bookmarkEnd w:id="547"/>
      <w:bookmarkEnd w:id="548"/>
      <w:bookmarkEnd w:id="549"/>
      <w:bookmarkEnd w:id="550"/>
      <w:bookmarkEnd w:id="551"/>
      <w:bookmarkEnd w:id="552"/>
      <w:bookmarkEnd w:id="553"/>
      <w:bookmarkEnd w:id="554"/>
      <w:bookmarkEnd w:id="555"/>
      <w:bookmarkEnd w:id="556"/>
      <w:bookmarkEnd w:id="557"/>
      <w:bookmarkEnd w:id="558"/>
      <w:bookmarkEnd w:id="559"/>
      <w:bookmarkEnd w:id="560"/>
      <w:bookmarkEnd w:id="561"/>
      <w:bookmarkEnd w:id="562"/>
      <w:bookmarkEnd w:id="563"/>
      <w:bookmarkEnd w:id="564"/>
      <w:bookmarkEnd w:id="565"/>
      <w:bookmarkEnd w:id="566"/>
      <w:bookmarkEnd w:id="567"/>
      <w:bookmarkEnd w:id="568"/>
      <w:bookmarkEnd w:id="569"/>
      <w:bookmarkEnd w:id="570"/>
      <w:bookmarkEnd w:id="571"/>
      <w:bookmarkEnd w:id="572"/>
      <w:bookmarkEnd w:id="573"/>
      <w:bookmarkEnd w:id="574"/>
      <w:bookmarkEnd w:id="575"/>
      <w:bookmarkEnd w:id="576"/>
      <w:bookmarkEnd w:id="577"/>
      <w:bookmarkEnd w:id="578"/>
      <w:bookmarkEnd w:id="579"/>
      <w:bookmarkEnd w:id="580"/>
      <w:bookmarkEnd w:id="581"/>
      <w:bookmarkEnd w:id="582"/>
      <w:bookmarkEnd w:id="583"/>
      <w:bookmarkEnd w:id="584"/>
      <w:bookmarkEnd w:id="585"/>
      <w:bookmarkEnd w:id="586"/>
      <w:bookmarkEnd w:id="587"/>
      <w:bookmarkEnd w:id="588"/>
      <w:bookmarkEnd w:id="589"/>
      <w:bookmarkEnd w:id="590"/>
      <w:bookmarkEnd w:id="591"/>
      <w:bookmarkEnd w:id="592"/>
      <w:bookmarkEnd w:id="593"/>
      <w:bookmarkEnd w:id="594"/>
      <w:bookmarkEnd w:id="595"/>
      <w:bookmarkEnd w:id="596"/>
      <w:bookmarkEnd w:id="597"/>
      <w:bookmarkEnd w:id="598"/>
      <w:bookmarkEnd w:id="599"/>
      <w:bookmarkEnd w:id="600"/>
      <w:bookmarkEnd w:id="601"/>
      <w:bookmarkEnd w:id="602"/>
      <w:bookmarkEnd w:id="603"/>
      <w:bookmarkEnd w:id="604"/>
      <w:bookmarkEnd w:id="605"/>
      <w:bookmarkEnd w:id="606"/>
      <w:bookmarkEnd w:id="607"/>
      <w:bookmarkEnd w:id="608"/>
      <w:bookmarkEnd w:id="609"/>
      <w:bookmarkEnd w:id="610"/>
      <w:bookmarkEnd w:id="611"/>
      <w:bookmarkEnd w:id="612"/>
      <w:bookmarkEnd w:id="613"/>
      <w:bookmarkEnd w:id="614"/>
      <w:bookmarkEnd w:id="615"/>
      <w:bookmarkEnd w:id="616"/>
      <w:bookmarkEnd w:id="617"/>
      <w:bookmarkEnd w:id="618"/>
      <w:bookmarkEnd w:id="619"/>
      <w:bookmarkEnd w:id="620"/>
      <w:bookmarkEnd w:id="621"/>
      <w:bookmarkEnd w:id="622"/>
      <w:bookmarkEnd w:id="623"/>
      <w:bookmarkEnd w:id="624"/>
      <w:bookmarkEnd w:id="625"/>
      <w:bookmarkEnd w:id="626"/>
      <w:bookmarkEnd w:id="627"/>
      <w:bookmarkEnd w:id="628"/>
      <w:bookmarkEnd w:id="629"/>
      <w:bookmarkEnd w:id="630"/>
      <w:bookmarkEnd w:id="631"/>
      <w:bookmarkEnd w:id="632"/>
      <w:bookmarkEnd w:id="633"/>
      <w:bookmarkEnd w:id="634"/>
      <w:bookmarkEnd w:id="635"/>
      <w:bookmarkEnd w:id="636"/>
      <w:bookmarkEnd w:id="637"/>
      <w:bookmarkEnd w:id="638"/>
      <w:bookmarkEnd w:id="639"/>
      <w:bookmarkEnd w:id="640"/>
      <w:bookmarkEnd w:id="641"/>
      <w:bookmarkEnd w:id="642"/>
      <w:bookmarkEnd w:id="643"/>
      <w:bookmarkEnd w:id="644"/>
      <w:bookmarkEnd w:id="645"/>
      <w:bookmarkEnd w:id="646"/>
      <w:bookmarkEnd w:id="647"/>
      <w:bookmarkEnd w:id="648"/>
      <w:bookmarkEnd w:id="649"/>
      <w:bookmarkEnd w:id="650"/>
      <w:bookmarkEnd w:id="651"/>
      <w:bookmarkEnd w:id="652"/>
      <w:bookmarkEnd w:id="653"/>
      <w:bookmarkEnd w:id="654"/>
      <w:bookmarkEnd w:id="655"/>
      <w:bookmarkEnd w:id="656"/>
      <w:bookmarkEnd w:id="657"/>
      <w:bookmarkEnd w:id="658"/>
      <w:bookmarkEnd w:id="659"/>
      <w:bookmarkEnd w:id="660"/>
      <w:bookmarkEnd w:id="661"/>
      <w:bookmarkEnd w:id="662"/>
      <w:bookmarkEnd w:id="663"/>
      <w:bookmarkEnd w:id="664"/>
      <w:bookmarkEnd w:id="665"/>
      <w:bookmarkEnd w:id="666"/>
      <w:bookmarkEnd w:id="667"/>
      <w:bookmarkEnd w:id="668"/>
      <w:bookmarkEnd w:id="669"/>
      <w:bookmarkEnd w:id="670"/>
      <w:bookmarkEnd w:id="671"/>
      <w:bookmarkEnd w:id="672"/>
      <w:bookmarkEnd w:id="673"/>
      <w:bookmarkEnd w:id="674"/>
      <w:bookmarkEnd w:id="675"/>
      <w:bookmarkEnd w:id="676"/>
      <w:bookmarkEnd w:id="677"/>
      <w:bookmarkEnd w:id="678"/>
      <w:bookmarkEnd w:id="679"/>
      <w:bookmarkEnd w:id="680"/>
      <w:bookmarkEnd w:id="681"/>
      <w:bookmarkEnd w:id="682"/>
      <w:bookmarkEnd w:id="683"/>
      <w:bookmarkEnd w:id="684"/>
      <w:bookmarkEnd w:id="685"/>
      <w:bookmarkEnd w:id="686"/>
      <w:bookmarkEnd w:id="687"/>
      <w:bookmarkEnd w:id="688"/>
      <w:bookmarkEnd w:id="689"/>
      <w:bookmarkEnd w:id="690"/>
      <w:bookmarkEnd w:id="691"/>
      <w:bookmarkEnd w:id="692"/>
      <w:bookmarkEnd w:id="693"/>
      <w:bookmarkEnd w:id="694"/>
      <w:bookmarkEnd w:id="695"/>
      <w:bookmarkEnd w:id="696"/>
      <w:bookmarkEnd w:id="697"/>
      <w:bookmarkEnd w:id="698"/>
      <w:bookmarkEnd w:id="699"/>
      <w:bookmarkEnd w:id="700"/>
      <w:bookmarkEnd w:id="701"/>
      <w:bookmarkEnd w:id="702"/>
      <w:bookmarkEnd w:id="703"/>
      <w:bookmarkEnd w:id="704"/>
      <w:bookmarkEnd w:id="705"/>
      <w:bookmarkEnd w:id="706"/>
      <w:bookmarkEnd w:id="707"/>
      <w:bookmarkEnd w:id="708"/>
      <w:bookmarkEnd w:id="709"/>
      <w:bookmarkEnd w:id="710"/>
      <w:bookmarkEnd w:id="711"/>
      <w:bookmarkEnd w:id="712"/>
      <w:bookmarkEnd w:id="713"/>
      <w:bookmarkEnd w:id="714"/>
      <w:bookmarkEnd w:id="715"/>
      <w:bookmarkEnd w:id="716"/>
      <w:bookmarkEnd w:id="717"/>
      <w:bookmarkEnd w:id="718"/>
      <w:bookmarkEnd w:id="719"/>
      <w:bookmarkEnd w:id="720"/>
      <w:bookmarkEnd w:id="721"/>
      <w:bookmarkEnd w:id="722"/>
      <w:bookmarkEnd w:id="723"/>
      <w:bookmarkEnd w:id="724"/>
      <w:bookmarkEnd w:id="725"/>
      <w:bookmarkEnd w:id="726"/>
      <w:bookmarkEnd w:id="727"/>
      <w:bookmarkEnd w:id="728"/>
      <w:bookmarkEnd w:id="729"/>
      <w:bookmarkEnd w:id="730"/>
      <w:bookmarkEnd w:id="731"/>
      <w:bookmarkEnd w:id="732"/>
      <w:bookmarkEnd w:id="733"/>
      <w:bookmarkEnd w:id="734"/>
      <w:bookmarkEnd w:id="735"/>
      <w:bookmarkEnd w:id="736"/>
      <w:bookmarkEnd w:id="737"/>
      <w:bookmarkEnd w:id="738"/>
      <w:bookmarkEnd w:id="739"/>
      <w:bookmarkEnd w:id="740"/>
      <w:bookmarkEnd w:id="741"/>
      <w:bookmarkEnd w:id="742"/>
      <w:bookmarkEnd w:id="743"/>
      <w:bookmarkEnd w:id="744"/>
      <w:bookmarkEnd w:id="745"/>
      <w:bookmarkEnd w:id="746"/>
      <w:bookmarkEnd w:id="747"/>
      <w:bookmarkEnd w:id="748"/>
      <w:bookmarkEnd w:id="749"/>
      <w:bookmarkEnd w:id="750"/>
      <w:bookmarkEnd w:id="751"/>
      <w:bookmarkEnd w:id="752"/>
      <w:bookmarkEnd w:id="753"/>
      <w:bookmarkEnd w:id="754"/>
      <w:bookmarkEnd w:id="755"/>
      <w:bookmarkEnd w:id="756"/>
      <w:bookmarkEnd w:id="757"/>
      <w:bookmarkEnd w:id="758"/>
      <w:bookmarkEnd w:id="759"/>
      <w:bookmarkEnd w:id="760"/>
      <w:bookmarkEnd w:id="761"/>
      <w:bookmarkEnd w:id="762"/>
      <w:bookmarkEnd w:id="763"/>
      <w:bookmarkEnd w:id="764"/>
      <w:bookmarkEnd w:id="765"/>
      <w:bookmarkEnd w:id="766"/>
      <w:bookmarkEnd w:id="767"/>
      <w:bookmarkEnd w:id="768"/>
      <w:bookmarkEnd w:id="769"/>
      <w:bookmarkEnd w:id="770"/>
      <w:bookmarkEnd w:id="771"/>
      <w:bookmarkEnd w:id="772"/>
      <w:bookmarkEnd w:id="773"/>
      <w:bookmarkEnd w:id="774"/>
      <w:bookmarkEnd w:id="775"/>
      <w:bookmarkEnd w:id="776"/>
      <w:bookmarkEnd w:id="777"/>
      <w:bookmarkEnd w:id="778"/>
      <w:bookmarkEnd w:id="779"/>
      <w:bookmarkEnd w:id="780"/>
      <w:bookmarkEnd w:id="781"/>
      <w:bookmarkEnd w:id="782"/>
      <w:bookmarkEnd w:id="783"/>
      <w:bookmarkEnd w:id="784"/>
      <w:bookmarkEnd w:id="785"/>
      <w:bookmarkEnd w:id="786"/>
      <w:bookmarkEnd w:id="787"/>
      <w:bookmarkEnd w:id="788"/>
      <w:bookmarkEnd w:id="789"/>
      <w:bookmarkEnd w:id="790"/>
      <w:bookmarkEnd w:id="791"/>
      <w:bookmarkEnd w:id="792"/>
      <w:bookmarkEnd w:id="793"/>
      <w:bookmarkEnd w:id="794"/>
      <w:bookmarkEnd w:id="795"/>
      <w:bookmarkEnd w:id="796"/>
      <w:bookmarkEnd w:id="797"/>
      <w:bookmarkEnd w:id="798"/>
      <w:bookmarkEnd w:id="799"/>
      <w:bookmarkEnd w:id="800"/>
      <w:bookmarkEnd w:id="801"/>
      <w:bookmarkEnd w:id="802"/>
      <w:bookmarkEnd w:id="803"/>
      <w:bookmarkEnd w:id="804"/>
      <w:bookmarkEnd w:id="805"/>
      <w:bookmarkEnd w:id="806"/>
      <w:bookmarkEnd w:id="807"/>
      <w:bookmarkEnd w:id="808"/>
      <w:bookmarkEnd w:id="809"/>
      <w:bookmarkEnd w:id="810"/>
      <w:bookmarkEnd w:id="811"/>
      <w:bookmarkEnd w:id="812"/>
      <w:bookmarkEnd w:id="813"/>
      <w:bookmarkEnd w:id="814"/>
      <w:bookmarkEnd w:id="815"/>
      <w:bookmarkEnd w:id="816"/>
      <w:bookmarkEnd w:id="817"/>
      <w:bookmarkEnd w:id="818"/>
      <w:bookmarkEnd w:id="819"/>
      <w:bookmarkEnd w:id="820"/>
      <w:bookmarkEnd w:id="821"/>
      <w:bookmarkEnd w:id="822"/>
      <w:bookmarkEnd w:id="823"/>
      <w:bookmarkEnd w:id="824"/>
      <w:bookmarkEnd w:id="825"/>
      <w:bookmarkEnd w:id="826"/>
      <w:bookmarkEnd w:id="827"/>
      <w:bookmarkEnd w:id="828"/>
      <w:bookmarkEnd w:id="829"/>
      <w:bookmarkEnd w:id="830"/>
      <w:bookmarkEnd w:id="831"/>
      <w:bookmarkEnd w:id="832"/>
      <w:bookmarkEnd w:id="833"/>
      <w:bookmarkEnd w:id="834"/>
      <w:bookmarkEnd w:id="835"/>
      <w:bookmarkEnd w:id="836"/>
      <w:bookmarkEnd w:id="837"/>
      <w:bookmarkEnd w:id="838"/>
      <w:bookmarkEnd w:id="839"/>
      <w:bookmarkEnd w:id="840"/>
      <w:bookmarkEnd w:id="841"/>
      <w:bookmarkEnd w:id="842"/>
      <w:bookmarkEnd w:id="843"/>
      <w:bookmarkEnd w:id="844"/>
      <w:bookmarkEnd w:id="845"/>
      <w:bookmarkEnd w:id="846"/>
      <w:bookmarkEnd w:id="847"/>
      <w:bookmarkEnd w:id="848"/>
      <w:bookmarkEnd w:id="849"/>
      <w:bookmarkEnd w:id="850"/>
      <w:bookmarkEnd w:id="851"/>
      <w:bookmarkEnd w:id="852"/>
      <w:bookmarkEnd w:id="853"/>
      <w:bookmarkEnd w:id="854"/>
      <w:bookmarkEnd w:id="855"/>
      <w:bookmarkEnd w:id="856"/>
      <w:bookmarkEnd w:id="857"/>
      <w:bookmarkEnd w:id="858"/>
      <w:bookmarkEnd w:id="859"/>
      <w:bookmarkEnd w:id="860"/>
      <w:bookmarkEnd w:id="861"/>
      <w:bookmarkEnd w:id="862"/>
      <w:bookmarkEnd w:id="863"/>
      <w:bookmarkEnd w:id="864"/>
      <w:bookmarkEnd w:id="865"/>
      <w:bookmarkEnd w:id="866"/>
      <w:bookmarkEnd w:id="867"/>
      <w:bookmarkEnd w:id="868"/>
      <w:bookmarkEnd w:id="869"/>
      <w:bookmarkEnd w:id="870"/>
      <w:bookmarkEnd w:id="871"/>
      <w:bookmarkEnd w:id="872"/>
      <w:bookmarkEnd w:id="873"/>
      <w:bookmarkEnd w:id="874"/>
      <w:bookmarkEnd w:id="875"/>
      <w:bookmarkEnd w:id="876"/>
      <w:bookmarkEnd w:id="877"/>
      <w:r w:rsidRPr="00097F02">
        <w:t>Principles of Capacity Market Design</w:t>
      </w:r>
      <w:bookmarkEnd w:id="878"/>
      <w:bookmarkEnd w:id="879"/>
    </w:p>
    <w:p w14:paraId="58E961D6" w14:textId="7EA4BBF6" w:rsidR="00BC2952" w:rsidRPr="00BC2952" w:rsidRDefault="00BC2952" w:rsidP="00BC2952">
      <w:pPr>
        <w:pStyle w:val="rptmainbodytext"/>
      </w:pPr>
      <w:r w:rsidRPr="00BC2952">
        <w:t xml:space="preserve">The </w:t>
      </w:r>
      <w:r w:rsidR="008D7C63">
        <w:t xml:space="preserve">purpose of the </w:t>
      </w:r>
      <w:r w:rsidRPr="00BC2952">
        <w:t>capacity market is to provide efficient incentives for the investment needed to satisfy resource adequacy needs.</w:t>
      </w:r>
      <w:r w:rsidR="003E7D62">
        <w:t xml:space="preserve">  </w:t>
      </w:r>
      <w:r w:rsidR="00B67C85">
        <w:t>ISO-NE</w:t>
      </w:r>
      <w:r w:rsidR="00F87465">
        <w:t xml:space="preserve"> is responsible for satisfying</w:t>
      </w:r>
      <w:r w:rsidR="002F6EE8">
        <w:t xml:space="preserve"> </w:t>
      </w:r>
      <w:r w:rsidR="00B67C85">
        <w:t xml:space="preserve">a one-day-in-ten-years </w:t>
      </w:r>
      <w:r w:rsidR="002F6EE8">
        <w:t xml:space="preserve">reliability </w:t>
      </w:r>
      <w:r w:rsidR="00B67C85">
        <w:t xml:space="preserve">standard.  </w:t>
      </w:r>
      <w:r w:rsidR="002F6EE8">
        <w:t>E</w:t>
      </w:r>
      <w:r w:rsidRPr="00BC2952">
        <w:t>nergy and ancillary services markets typically do not provide adequate revenues to sustain reserve margins at th</w:t>
      </w:r>
      <w:r w:rsidR="00FF4DBF">
        <w:t>at</w:t>
      </w:r>
      <w:r w:rsidRPr="00BC2952">
        <w:t xml:space="preserve"> </w:t>
      </w:r>
      <w:r w:rsidR="00FF4DBF">
        <w:t xml:space="preserve">required </w:t>
      </w:r>
      <w:r w:rsidRPr="00BC2952">
        <w:t>level</w:t>
      </w:r>
      <w:r w:rsidR="00FF4DBF">
        <w:t xml:space="preserve"> of reliability</w:t>
      </w:r>
      <w:r w:rsidRPr="00BC2952">
        <w:t>.</w:t>
      </w:r>
      <w:r w:rsidR="003E7D62">
        <w:t xml:space="preserve"> </w:t>
      </w:r>
      <w:r w:rsidRPr="00BC2952">
        <w:t xml:space="preserve"> Th</w:t>
      </w:r>
      <w:r w:rsidR="00794070">
        <w:t>e shortfall in</w:t>
      </w:r>
      <w:r w:rsidRPr="00BC2952">
        <w:t xml:space="preserve"> revenue</w:t>
      </w:r>
      <w:r w:rsidR="006F11AB">
        <w:t xml:space="preserve"> (after accounting for net</w:t>
      </w:r>
      <w:r w:rsidR="00F5573C">
        <w:t xml:space="preserve"> revenues from </w:t>
      </w:r>
      <w:r w:rsidR="007A0C48">
        <w:t>the sale of energy and ancillary services)</w:t>
      </w:r>
      <w:r w:rsidRPr="00BC2952">
        <w:t xml:space="preserve"> is called the “missing money”</w:t>
      </w:r>
      <w:r w:rsidR="001855EF">
        <w:t>,</w:t>
      </w:r>
      <w:r w:rsidRPr="00BC2952">
        <w:t xml:space="preserve"> which the capacity market is designed to provide.</w:t>
      </w:r>
    </w:p>
    <w:p w14:paraId="0475667B" w14:textId="78D2377A" w:rsidR="00BC2952" w:rsidRDefault="005C4CF0" w:rsidP="00BC2952">
      <w:pPr>
        <w:pStyle w:val="rptmainbodytext"/>
      </w:pPr>
      <w:r>
        <w:t>Capacity prices are primarily determined in annual auctions based on the supply offers from capacity resources and the demand curves</w:t>
      </w:r>
      <w:r w:rsidR="00CF6A56">
        <w:t>.  Supply and demand</w:t>
      </w:r>
      <w:r w:rsidR="007041EA">
        <w:t xml:space="preserve"> in the capacity auctions</w:t>
      </w:r>
      <w:r>
        <w:t xml:space="preserve"> change from one year to next,</w:t>
      </w:r>
      <w:r w:rsidR="0098217A">
        <w:t xml:space="preserve"> while </w:t>
      </w:r>
      <w:r w:rsidR="00D455ED">
        <w:t>s</w:t>
      </w:r>
      <w:r w:rsidR="00CB1637">
        <w:t>upply</w:t>
      </w:r>
      <w:r w:rsidR="00C565D4">
        <w:t xml:space="preserve"> </w:t>
      </w:r>
      <w:r>
        <w:t>i</w:t>
      </w:r>
      <w:r w:rsidR="00BC2952" w:rsidRPr="00BC2952">
        <w:t>nvestment</w:t>
      </w:r>
      <w:r w:rsidR="00B93D07">
        <w:t>s</w:t>
      </w:r>
      <w:r w:rsidR="00BC2952" w:rsidRPr="00BC2952">
        <w:t xml:space="preserve"> </w:t>
      </w:r>
      <w:r w:rsidR="00B93D07">
        <w:t>are</w:t>
      </w:r>
      <w:r w:rsidR="00BC2952" w:rsidRPr="00BC2952">
        <w:t xml:space="preserve"> long-lived (i.e., &gt;20-year) assets </w:t>
      </w:r>
      <w:r w:rsidR="00643BAA">
        <w:t>that</w:t>
      </w:r>
      <w:r>
        <w:t xml:space="preserve"> </w:t>
      </w:r>
      <w:r w:rsidR="00BC2952" w:rsidRPr="00BC2952">
        <w:t xml:space="preserve">depend on </w:t>
      </w:r>
      <w:r w:rsidR="00041FBE">
        <w:t>revenues over</w:t>
      </w:r>
      <w:r w:rsidR="00647088">
        <w:t xml:space="preserve"> the </w:t>
      </w:r>
      <w:r w:rsidR="00BC2952" w:rsidRPr="00BC2952">
        <w:t>long-term</w:t>
      </w:r>
      <w:r w:rsidR="00A8592A">
        <w:t xml:space="preserve">.  </w:t>
      </w:r>
      <w:r w:rsidR="00C4174A">
        <w:t>Hence</w:t>
      </w:r>
      <w:r w:rsidR="002D329D">
        <w:t xml:space="preserve">, </w:t>
      </w:r>
      <w:r w:rsidR="00F36290">
        <w:t xml:space="preserve">annual </w:t>
      </w:r>
      <w:r w:rsidR="00F36290" w:rsidRPr="00BC2952">
        <w:t>capacity auctions provide limited revenue certainty</w:t>
      </w:r>
      <w:r w:rsidR="00A151DC">
        <w:t xml:space="preserve">, </w:t>
      </w:r>
      <w:r w:rsidR="005D5D61">
        <w:t>making</w:t>
      </w:r>
      <w:r w:rsidR="00F36290">
        <w:t xml:space="preserve"> </w:t>
      </w:r>
      <w:r w:rsidR="00AD7221">
        <w:t xml:space="preserve">long-term expectations </w:t>
      </w:r>
      <w:r w:rsidR="00C4174A">
        <w:t xml:space="preserve">of </w:t>
      </w:r>
      <w:r w:rsidR="00BC2952" w:rsidRPr="00BC2952">
        <w:t xml:space="preserve">auction clearing prices </w:t>
      </w:r>
      <w:r w:rsidR="00AD7221">
        <w:t xml:space="preserve">an important </w:t>
      </w:r>
      <w:r w:rsidR="00BC2952" w:rsidRPr="00BC2952">
        <w:t>drive</w:t>
      </w:r>
      <w:r w:rsidR="00AD7221">
        <w:t>r of investment</w:t>
      </w:r>
      <w:r w:rsidR="000D4C2D">
        <w:t>.</w:t>
      </w:r>
    </w:p>
    <w:p w14:paraId="55829951" w14:textId="0E6686EF" w:rsidR="0037183E" w:rsidRDefault="00C12A69" w:rsidP="000D4C2D">
      <w:pPr>
        <w:pStyle w:val="rptmainbodytext"/>
      </w:pPr>
      <w:r>
        <w:t xml:space="preserve">The capacity demand curve </w:t>
      </w:r>
      <w:r w:rsidR="006A4476">
        <w:t xml:space="preserve">has a downward-sloping shape so that as the capacity surplus increases, </w:t>
      </w:r>
      <w:r w:rsidR="00AB6434">
        <w:t>prices fall, and vice versa.</w:t>
      </w:r>
      <w:r w:rsidR="00FD7B45">
        <w:t xml:space="preserve">  This </w:t>
      </w:r>
      <w:r w:rsidR="00B77C0B">
        <w:t>promotes the capacity price stability by encouraging new entry when needed</w:t>
      </w:r>
      <w:r w:rsidR="00D67A0A">
        <w:t xml:space="preserve"> for resource adequacy</w:t>
      </w:r>
      <w:r w:rsidR="00B77C0B">
        <w:t xml:space="preserve"> and discour</w:t>
      </w:r>
      <w:r w:rsidR="00C36250">
        <w:t xml:space="preserve">aging entry when additional supply </w:t>
      </w:r>
      <w:r w:rsidR="00D67A0A">
        <w:t>would provide less reliability value.</w:t>
      </w:r>
      <w:r w:rsidR="006A4476">
        <w:t xml:space="preserve"> </w:t>
      </w:r>
      <w:r w:rsidR="00AB6434">
        <w:t xml:space="preserve"> </w:t>
      </w:r>
      <w:r w:rsidR="00BC0C36">
        <w:t xml:space="preserve">The </w:t>
      </w:r>
      <w:r w:rsidR="0037183E">
        <w:t xml:space="preserve">capacity demand curve </w:t>
      </w:r>
      <w:r w:rsidR="00981E56">
        <w:t xml:space="preserve">is </w:t>
      </w:r>
      <w:r w:rsidR="00AB6434">
        <w:t>set</w:t>
      </w:r>
      <w:r w:rsidR="00981E56">
        <w:t xml:space="preserve"> by two key parameters</w:t>
      </w:r>
      <w:r w:rsidR="0037183E">
        <w:t>:</w:t>
      </w:r>
    </w:p>
    <w:p w14:paraId="7B87A27A" w14:textId="5D7DE13A" w:rsidR="000D4C2D" w:rsidRPr="000D4C2D" w:rsidRDefault="0037183E" w:rsidP="0037183E">
      <w:pPr>
        <w:pStyle w:val="rptmainbodybullets1"/>
      </w:pPr>
      <w:r w:rsidRPr="0037183E">
        <w:rPr>
          <w:i/>
          <w:iCs/>
          <w:u w:val="single"/>
        </w:rPr>
        <w:t>Slope of Demand Curves</w:t>
      </w:r>
      <w:r>
        <w:t xml:space="preserve"> - </w:t>
      </w:r>
      <w:r w:rsidR="004B29FF">
        <w:t xml:space="preserve">ISO-NE sets the slope of the demand curve </w:t>
      </w:r>
      <w:r w:rsidR="00732B87">
        <w:t>in proportion to</w:t>
      </w:r>
      <w:r w:rsidR="004B29FF" w:rsidRPr="000D4C2D">
        <w:t xml:space="preserve"> the </w:t>
      </w:r>
      <w:r w:rsidR="00550258">
        <w:t xml:space="preserve">marginal </w:t>
      </w:r>
      <w:r w:rsidR="004B29FF" w:rsidRPr="000D4C2D">
        <w:t>reliability value of</w:t>
      </w:r>
      <w:r w:rsidR="004B29FF">
        <w:t xml:space="preserve"> </w:t>
      </w:r>
      <w:r w:rsidR="004B29FF" w:rsidRPr="000D4C2D">
        <w:t>capacity</w:t>
      </w:r>
      <w:r w:rsidR="004B29FF">
        <w:t>.</w:t>
      </w:r>
    </w:p>
    <w:p w14:paraId="3B313C6A" w14:textId="355FA0BA" w:rsidR="000D4C2D" w:rsidRDefault="0037183E" w:rsidP="0037183E">
      <w:pPr>
        <w:pStyle w:val="rptmainbodybullets1"/>
      </w:pPr>
      <w:r w:rsidRPr="0037183E">
        <w:rPr>
          <w:i/>
          <w:iCs/>
          <w:u w:val="single"/>
        </w:rPr>
        <w:lastRenderedPageBreak/>
        <w:t>Height of Demand Curves</w:t>
      </w:r>
      <w:r>
        <w:t xml:space="preserve"> - </w:t>
      </w:r>
      <w:r w:rsidR="000D4C2D" w:rsidRPr="000D4C2D">
        <w:t>The height of the sloped demand curve depends on the Net CONE (“Cost of New Entry”) of a generic potential new entrant (i.e., the demand curve unit)</w:t>
      </w:r>
      <w:r w:rsidR="000D4C2D">
        <w:t xml:space="preserve">.  </w:t>
      </w:r>
      <w:r w:rsidR="000D4C2D" w:rsidRPr="000D4C2D">
        <w:t>The height is set in order to motivate investment needed to achieve a target level of reliability</w:t>
      </w:r>
      <w:r w:rsidR="007623A9">
        <w:t>, since a merchant</w:t>
      </w:r>
      <w:r w:rsidR="000D4C2D" w:rsidRPr="000D4C2D">
        <w:t xml:space="preserve"> investor must expect to recover </w:t>
      </w:r>
      <w:r w:rsidR="003B37C8">
        <w:t xml:space="preserve">Net </w:t>
      </w:r>
      <w:r w:rsidR="000D4C2D" w:rsidRPr="000D4C2D">
        <w:t>CONE over the long</w:t>
      </w:r>
      <w:r w:rsidR="00874299">
        <w:t>-</w:t>
      </w:r>
      <w:r w:rsidR="000D4C2D" w:rsidRPr="000D4C2D">
        <w:t>run as prices fluctuate.</w:t>
      </w:r>
      <w:r w:rsidR="000D4C2D">
        <w:t xml:space="preserve">  </w:t>
      </w:r>
      <w:r w:rsidR="00790277">
        <w:t xml:space="preserve">Key factors that affect the Net CONE include the estimated energy and ancillary service revenues, capital </w:t>
      </w:r>
      <w:r w:rsidR="00E171F9">
        <w:t>expenditures</w:t>
      </w:r>
      <w:r w:rsidR="00790277">
        <w:t xml:space="preserve">, economic life, and the cost of capital.  </w:t>
      </w:r>
      <w:r w:rsidR="00384BE4">
        <w:t>Hence</w:t>
      </w:r>
      <w:r w:rsidR="00790277">
        <w:t xml:space="preserve">, higher </w:t>
      </w:r>
      <w:r w:rsidR="00384BE4">
        <w:t xml:space="preserve">price </w:t>
      </w:r>
      <w:r w:rsidR="00790277">
        <w:t>volatility increase</w:t>
      </w:r>
      <w:r w:rsidR="00384BE4">
        <w:t>s</w:t>
      </w:r>
      <w:r w:rsidR="00790277">
        <w:t xml:space="preserve"> investment risk, which raise</w:t>
      </w:r>
      <w:r w:rsidR="00384BE4">
        <w:t>s</w:t>
      </w:r>
      <w:r w:rsidR="00790277">
        <w:t xml:space="preserve"> the cost of capital and</w:t>
      </w:r>
      <w:r w:rsidR="00DA1059">
        <w:t>, consequently,</w:t>
      </w:r>
      <w:r w:rsidR="00790277">
        <w:t xml:space="preserve"> Net CONE.  </w:t>
      </w:r>
    </w:p>
    <w:p w14:paraId="44414485" w14:textId="09D77685" w:rsidR="00B26CFE" w:rsidRDefault="00E22C49" w:rsidP="00B26CFE">
      <w:pPr>
        <w:pStyle w:val="rptmainbodytext"/>
      </w:pPr>
      <w:r>
        <w:t>In the next subsection, w</w:t>
      </w:r>
      <w:r w:rsidR="00A874AF">
        <w:t xml:space="preserve">e discuss how the </w:t>
      </w:r>
      <w:r w:rsidR="00242D5B">
        <w:t>volat</w:t>
      </w:r>
      <w:r w:rsidR="00B417B3">
        <w:t xml:space="preserve">ility of revenues and </w:t>
      </w:r>
      <w:r w:rsidR="007C28B1">
        <w:t xml:space="preserve">the investment </w:t>
      </w:r>
      <w:r w:rsidR="00A874AF">
        <w:t>risk is influenced by out-of-market entry.</w:t>
      </w:r>
    </w:p>
    <w:p w14:paraId="72FD002B" w14:textId="1A9C5F82" w:rsidR="00097F02" w:rsidRDefault="00097F02" w:rsidP="00097F02">
      <w:pPr>
        <w:pStyle w:val="rptmainbodyheading2"/>
        <w:rPr>
          <w:lang w:eastAsia="zh-CN"/>
        </w:rPr>
      </w:pPr>
      <w:bookmarkStart w:id="880" w:name="_Ref84315189"/>
      <w:bookmarkStart w:id="881" w:name="_Toc86419519"/>
      <w:r w:rsidRPr="00097F02">
        <w:rPr>
          <w:lang w:eastAsia="zh-CN"/>
        </w:rPr>
        <w:t xml:space="preserve">Market Risk </w:t>
      </w:r>
      <w:r w:rsidR="008F4AF8">
        <w:rPr>
          <w:lang w:eastAsia="zh-CN"/>
        </w:rPr>
        <w:t xml:space="preserve">with and </w:t>
      </w:r>
      <w:r w:rsidRPr="00097F02">
        <w:rPr>
          <w:lang w:eastAsia="zh-CN"/>
        </w:rPr>
        <w:t>without Out</w:t>
      </w:r>
      <w:r w:rsidR="00A874AF">
        <w:rPr>
          <w:lang w:eastAsia="zh-CN"/>
        </w:rPr>
        <w:t>-</w:t>
      </w:r>
      <w:r w:rsidRPr="00097F02">
        <w:rPr>
          <w:lang w:eastAsia="zh-CN"/>
        </w:rPr>
        <w:t>of</w:t>
      </w:r>
      <w:r w:rsidR="00A874AF">
        <w:rPr>
          <w:lang w:eastAsia="zh-CN"/>
        </w:rPr>
        <w:t>-</w:t>
      </w:r>
      <w:r w:rsidRPr="00097F02">
        <w:rPr>
          <w:lang w:eastAsia="zh-CN"/>
        </w:rPr>
        <w:t>Market Entry</w:t>
      </w:r>
      <w:bookmarkEnd w:id="880"/>
      <w:bookmarkEnd w:id="881"/>
    </w:p>
    <w:p w14:paraId="3644D3D7" w14:textId="74DBBF93" w:rsidR="003D1CA5" w:rsidRDefault="00DB49DA" w:rsidP="003D1CA5">
      <w:pPr>
        <w:pStyle w:val="rptmainbodytext"/>
        <w:rPr>
          <w:lang w:eastAsia="zh-CN"/>
        </w:rPr>
      </w:pPr>
      <w:r>
        <w:rPr>
          <w:lang w:eastAsia="zh-CN"/>
        </w:rPr>
        <w:t>Eliminating</w:t>
      </w:r>
      <w:r w:rsidR="003D1CA5">
        <w:rPr>
          <w:lang w:eastAsia="zh-CN"/>
        </w:rPr>
        <w:t xml:space="preserve"> MOPR </w:t>
      </w:r>
      <w:r w:rsidR="00112DD7">
        <w:rPr>
          <w:lang w:eastAsia="zh-CN"/>
        </w:rPr>
        <w:t xml:space="preserve">should </w:t>
      </w:r>
      <w:r w:rsidR="00F9728E">
        <w:rPr>
          <w:lang w:eastAsia="zh-CN"/>
        </w:rPr>
        <w:t xml:space="preserve">enable a greater level of participation in the capacity market from </w:t>
      </w:r>
      <w:r w:rsidR="00F9728E">
        <w:t xml:space="preserve">state-sponsored resources that would have otherwise been subject to an Offer Floor Price.  </w:t>
      </w:r>
      <w:r w:rsidR="00CB15AF">
        <w:t>I</w:t>
      </w:r>
      <w:r w:rsidR="005A15ED">
        <w:t>ncreased</w:t>
      </w:r>
      <w:r w:rsidR="00F9728E">
        <w:t xml:space="preserve"> </w:t>
      </w:r>
      <w:r w:rsidR="00F9728E">
        <w:rPr>
          <w:lang w:eastAsia="zh-CN"/>
        </w:rPr>
        <w:t>out-of-market</w:t>
      </w:r>
      <w:r w:rsidR="00F9728E">
        <w:t xml:space="preserve"> </w:t>
      </w:r>
      <w:r w:rsidR="00865744">
        <w:t>entry</w:t>
      </w:r>
      <w:r w:rsidR="00F9728E">
        <w:t xml:space="preserve"> </w:t>
      </w:r>
      <w:r w:rsidR="00E55602">
        <w:t>w</w:t>
      </w:r>
      <w:r w:rsidR="00F9728E">
        <w:t>ould result in higher market risk to revenues of merchant resources</w:t>
      </w:r>
      <w:r w:rsidR="004D5D52">
        <w:t xml:space="preserve"> and other </w:t>
      </w:r>
      <w:r w:rsidR="009446A9">
        <w:t xml:space="preserve">resources that rely </w:t>
      </w:r>
      <w:r w:rsidR="008C27F3">
        <w:t>at least</w:t>
      </w:r>
      <w:r w:rsidR="009446A9">
        <w:t xml:space="preserve"> partly on wholesale market revenues</w:t>
      </w:r>
      <w:r w:rsidR="00F9728E">
        <w:t>.</w:t>
      </w:r>
      <w:r w:rsidR="007B6405">
        <w:t xml:space="preserve">  The first part of this subsection illustrates how policy-driven </w:t>
      </w:r>
      <w:r w:rsidR="008E4C20">
        <w:t>investment and merchant investment tend to affect price</w:t>
      </w:r>
      <w:r w:rsidR="00B7317C">
        <w:t xml:space="preserve"> volatility</w:t>
      </w:r>
      <w:r w:rsidR="008E4C20">
        <w:t xml:space="preserve"> differently.  The</w:t>
      </w:r>
      <w:r w:rsidR="00B7317C">
        <w:t xml:space="preserve"> second part of the subsection </w:t>
      </w:r>
      <w:r w:rsidR="005C7330">
        <w:t xml:space="preserve">highlights the tendency for </w:t>
      </w:r>
      <w:r w:rsidR="0089000D">
        <w:t xml:space="preserve">state </w:t>
      </w:r>
      <w:r w:rsidR="005C7330">
        <w:t>policy</w:t>
      </w:r>
      <w:r w:rsidR="0089000D">
        <w:t xml:space="preserve"> goals to change significantly over time</w:t>
      </w:r>
      <w:r w:rsidR="007854F4">
        <w:t xml:space="preserve"> with recent examples from New England.</w:t>
      </w:r>
    </w:p>
    <w:p w14:paraId="1C0F7FF9" w14:textId="2D517386" w:rsidR="00B257E9" w:rsidRDefault="003D1CA5" w:rsidP="003D1CA5">
      <w:pPr>
        <w:pStyle w:val="rptmainbodytext"/>
        <w:rPr>
          <w:lang w:eastAsia="zh-CN"/>
        </w:rPr>
      </w:pPr>
      <w:r w:rsidRPr="003D1CA5">
        <w:rPr>
          <w:lang w:eastAsia="zh-CN"/>
        </w:rPr>
        <w:t xml:space="preserve">In a market where new </w:t>
      </w:r>
      <w:r w:rsidR="00123CEF">
        <w:rPr>
          <w:lang w:eastAsia="zh-CN"/>
        </w:rPr>
        <w:t>entry and exit</w:t>
      </w:r>
      <w:r w:rsidRPr="003D1CA5">
        <w:rPr>
          <w:lang w:eastAsia="zh-CN"/>
        </w:rPr>
        <w:t xml:space="preserve"> </w:t>
      </w:r>
      <w:r w:rsidR="00572DAA">
        <w:rPr>
          <w:lang w:eastAsia="zh-CN"/>
        </w:rPr>
        <w:t>are</w:t>
      </w:r>
      <w:r w:rsidRPr="003D1CA5">
        <w:rPr>
          <w:lang w:eastAsia="zh-CN"/>
        </w:rPr>
        <w:t xml:space="preserve"> motivated </w:t>
      </w:r>
      <w:r w:rsidR="00572DAA">
        <w:rPr>
          <w:lang w:eastAsia="zh-CN"/>
        </w:rPr>
        <w:t xml:space="preserve">only </w:t>
      </w:r>
      <w:r w:rsidRPr="003D1CA5">
        <w:rPr>
          <w:lang w:eastAsia="zh-CN"/>
        </w:rPr>
        <w:t xml:space="preserve">by </w:t>
      </w:r>
      <w:r w:rsidR="00572DAA">
        <w:rPr>
          <w:lang w:eastAsia="zh-CN"/>
        </w:rPr>
        <w:t xml:space="preserve">market </w:t>
      </w:r>
      <w:r w:rsidRPr="003D1CA5">
        <w:rPr>
          <w:lang w:eastAsia="zh-CN"/>
        </w:rPr>
        <w:t>price signals</w:t>
      </w:r>
      <w:r w:rsidR="00F9728E">
        <w:rPr>
          <w:lang w:eastAsia="zh-CN"/>
        </w:rPr>
        <w:t xml:space="preserve">, </w:t>
      </w:r>
      <w:r w:rsidR="00CC30AF">
        <w:rPr>
          <w:lang w:eastAsia="zh-CN"/>
        </w:rPr>
        <w:t>g</w:t>
      </w:r>
      <w:r w:rsidR="00173886" w:rsidRPr="003D1CA5">
        <w:rPr>
          <w:lang w:eastAsia="zh-CN"/>
        </w:rPr>
        <w:t>radual demand growth and attrition of older inefficient supply leads to gradual new entry</w:t>
      </w:r>
      <w:r w:rsidR="00D97E01">
        <w:rPr>
          <w:lang w:eastAsia="zh-CN"/>
        </w:rPr>
        <w:t xml:space="preserve">, </w:t>
      </w:r>
      <w:r w:rsidR="00173886" w:rsidRPr="003D1CA5">
        <w:rPr>
          <w:lang w:eastAsia="zh-CN"/>
        </w:rPr>
        <w:t xml:space="preserve">resulting in </w:t>
      </w:r>
      <w:r w:rsidR="00911F36">
        <w:rPr>
          <w:lang w:eastAsia="zh-CN"/>
        </w:rPr>
        <w:t xml:space="preserve">predictable fluctuations in capacity surpluses and </w:t>
      </w:r>
      <w:r w:rsidR="00173886" w:rsidRPr="003D1CA5">
        <w:rPr>
          <w:lang w:eastAsia="zh-CN"/>
        </w:rPr>
        <w:t>low price volatility.</w:t>
      </w:r>
      <w:r w:rsidR="00173886">
        <w:rPr>
          <w:lang w:eastAsia="zh-CN"/>
        </w:rPr>
        <w:t xml:space="preserve">  </w:t>
      </w:r>
      <w:r w:rsidR="00E969F2">
        <w:rPr>
          <w:lang w:eastAsia="zh-CN"/>
        </w:rPr>
        <w:t>N</w:t>
      </w:r>
      <w:r w:rsidR="00E760EC" w:rsidRPr="003D1CA5">
        <w:rPr>
          <w:lang w:eastAsia="zh-CN"/>
        </w:rPr>
        <w:t>ew supply investment is often lumpy</w:t>
      </w:r>
      <w:r w:rsidR="00E760EC">
        <w:rPr>
          <w:lang w:eastAsia="zh-CN"/>
        </w:rPr>
        <w:t xml:space="preserve">, </w:t>
      </w:r>
      <w:r w:rsidR="00E760EC" w:rsidRPr="003D1CA5">
        <w:rPr>
          <w:lang w:eastAsia="zh-CN"/>
        </w:rPr>
        <w:t>lead</w:t>
      </w:r>
      <w:r w:rsidR="00A25CA5">
        <w:rPr>
          <w:lang w:eastAsia="zh-CN"/>
        </w:rPr>
        <w:t>ing</w:t>
      </w:r>
      <w:r w:rsidR="00E760EC" w:rsidRPr="003D1CA5">
        <w:rPr>
          <w:lang w:eastAsia="zh-CN"/>
        </w:rPr>
        <w:t xml:space="preserve"> to some transitory periods of lower prices, </w:t>
      </w:r>
      <w:r w:rsidR="00E969F2">
        <w:rPr>
          <w:lang w:eastAsia="zh-CN"/>
        </w:rPr>
        <w:t xml:space="preserve">so </w:t>
      </w:r>
      <w:r w:rsidR="00220F77">
        <w:rPr>
          <w:lang w:eastAsia="zh-CN"/>
        </w:rPr>
        <w:t>developers</w:t>
      </w:r>
      <w:r w:rsidR="00E760EC" w:rsidRPr="003D1CA5">
        <w:rPr>
          <w:lang w:eastAsia="zh-CN"/>
        </w:rPr>
        <w:t xml:space="preserve"> </w:t>
      </w:r>
      <w:r w:rsidR="00E969F2">
        <w:rPr>
          <w:lang w:eastAsia="zh-CN"/>
        </w:rPr>
        <w:t xml:space="preserve">must consider such </w:t>
      </w:r>
      <w:r w:rsidR="00220F77">
        <w:rPr>
          <w:lang w:eastAsia="zh-CN"/>
        </w:rPr>
        <w:t>risks before making an investment</w:t>
      </w:r>
      <w:r w:rsidR="00C12894">
        <w:rPr>
          <w:lang w:eastAsia="zh-CN"/>
        </w:rPr>
        <w:t xml:space="preserve">.  </w:t>
      </w:r>
      <w:r w:rsidR="007714F0">
        <w:rPr>
          <w:lang w:eastAsia="zh-CN"/>
        </w:rPr>
        <w:t>However</w:t>
      </w:r>
      <w:r w:rsidR="00C12894">
        <w:rPr>
          <w:lang w:eastAsia="zh-CN"/>
        </w:rPr>
        <w:t>,</w:t>
      </w:r>
      <w:r w:rsidR="009037AA">
        <w:rPr>
          <w:lang w:eastAsia="zh-CN"/>
        </w:rPr>
        <w:t xml:space="preserve"> large and sustained surpluses are less likely</w:t>
      </w:r>
      <w:r w:rsidR="00E760EC" w:rsidRPr="003D1CA5">
        <w:rPr>
          <w:lang w:eastAsia="zh-CN"/>
        </w:rPr>
        <w:t>.</w:t>
      </w:r>
      <w:r w:rsidR="00E760EC">
        <w:rPr>
          <w:lang w:eastAsia="zh-CN"/>
        </w:rPr>
        <w:t xml:space="preserve">  </w:t>
      </w:r>
      <w:r w:rsidR="00C22E62">
        <w:rPr>
          <w:lang w:eastAsia="zh-CN"/>
        </w:rPr>
        <w:t>Overall</w:t>
      </w:r>
      <w:r w:rsidR="00D97E01">
        <w:rPr>
          <w:lang w:eastAsia="zh-CN"/>
        </w:rPr>
        <w:t xml:space="preserve">, revenue </w:t>
      </w:r>
      <w:r w:rsidR="005F32CA">
        <w:rPr>
          <w:lang w:eastAsia="zh-CN"/>
        </w:rPr>
        <w:t>forecasts reflect modest uncertainty</w:t>
      </w:r>
      <w:r w:rsidR="00E760EC">
        <w:rPr>
          <w:lang w:eastAsia="zh-CN"/>
        </w:rPr>
        <w:t xml:space="preserve"> </w:t>
      </w:r>
      <w:r w:rsidR="00C22E62">
        <w:rPr>
          <w:lang w:eastAsia="zh-CN"/>
        </w:rPr>
        <w:t xml:space="preserve">because </w:t>
      </w:r>
      <w:r w:rsidR="00E760EC" w:rsidRPr="003D1CA5">
        <w:rPr>
          <w:lang w:eastAsia="zh-CN"/>
        </w:rPr>
        <w:t xml:space="preserve">market responses </w:t>
      </w:r>
      <w:r w:rsidR="00C22E62">
        <w:rPr>
          <w:lang w:eastAsia="zh-CN"/>
        </w:rPr>
        <w:t xml:space="preserve">generally </w:t>
      </w:r>
      <w:r w:rsidR="00E760EC" w:rsidRPr="003D1CA5">
        <w:rPr>
          <w:lang w:eastAsia="zh-CN"/>
        </w:rPr>
        <w:t>dampen the effects of shocks</w:t>
      </w:r>
      <w:r w:rsidR="005F32CA">
        <w:rPr>
          <w:lang w:eastAsia="zh-CN"/>
        </w:rPr>
        <w:t>.</w:t>
      </w:r>
      <w:r w:rsidR="00A46258">
        <w:rPr>
          <w:lang w:eastAsia="zh-CN"/>
        </w:rPr>
        <w:t xml:space="preserve"> </w:t>
      </w:r>
    </w:p>
    <w:p w14:paraId="79FA1F03" w14:textId="360E92C9" w:rsidR="00324178" w:rsidRDefault="00B257E9" w:rsidP="003D1CA5">
      <w:pPr>
        <w:pStyle w:val="rptmainbodytext"/>
        <w:rPr>
          <w:lang w:eastAsia="zh-CN"/>
        </w:rPr>
      </w:pPr>
      <w:r>
        <w:rPr>
          <w:lang w:eastAsia="zh-CN"/>
        </w:rPr>
        <w:t xml:space="preserve">In contrast, in a market with </w:t>
      </w:r>
      <w:r w:rsidR="009F5BF5">
        <w:rPr>
          <w:lang w:eastAsia="zh-CN"/>
        </w:rPr>
        <w:t xml:space="preserve">substantial out-of-market entry and exit, </w:t>
      </w:r>
      <w:r w:rsidR="00E6661D">
        <w:rPr>
          <w:lang w:eastAsia="zh-CN"/>
        </w:rPr>
        <w:t xml:space="preserve">state </w:t>
      </w:r>
      <w:r w:rsidR="004E27FF">
        <w:rPr>
          <w:lang w:eastAsia="zh-CN"/>
        </w:rPr>
        <w:t xml:space="preserve">policies </w:t>
      </w:r>
      <w:r w:rsidR="00E6661D">
        <w:rPr>
          <w:lang w:eastAsia="zh-CN"/>
        </w:rPr>
        <w:t xml:space="preserve">(e.g. </w:t>
      </w:r>
      <w:r w:rsidR="00E6661D" w:rsidRPr="00E6661D">
        <w:rPr>
          <w:lang w:eastAsia="zh-CN"/>
        </w:rPr>
        <w:t>subsidized generation investment, electrification, etc.</w:t>
      </w:r>
      <w:r w:rsidR="00E6661D">
        <w:rPr>
          <w:lang w:eastAsia="zh-CN"/>
        </w:rPr>
        <w:t xml:space="preserve">) </w:t>
      </w:r>
      <w:r w:rsidR="004E27FF">
        <w:rPr>
          <w:lang w:eastAsia="zh-CN"/>
        </w:rPr>
        <w:t xml:space="preserve">may lead to large shocks in supply and demand.  </w:t>
      </w:r>
      <w:r w:rsidR="00503889">
        <w:rPr>
          <w:lang w:eastAsia="zh-CN"/>
        </w:rPr>
        <w:t>State</w:t>
      </w:r>
      <w:r w:rsidR="00E95A9A">
        <w:rPr>
          <w:lang w:eastAsia="zh-CN"/>
        </w:rPr>
        <w:t>-</w:t>
      </w:r>
      <w:r w:rsidR="00503889">
        <w:rPr>
          <w:lang w:eastAsia="zh-CN"/>
        </w:rPr>
        <w:t>sponsored resource</w:t>
      </w:r>
      <w:r w:rsidR="00467630">
        <w:rPr>
          <w:lang w:eastAsia="zh-CN"/>
        </w:rPr>
        <w:t xml:space="preserve"> entry </w:t>
      </w:r>
      <w:r w:rsidR="003271B4">
        <w:rPr>
          <w:lang w:eastAsia="zh-CN"/>
        </w:rPr>
        <w:t>causes</w:t>
      </w:r>
      <w:r w:rsidR="00503889">
        <w:rPr>
          <w:lang w:eastAsia="zh-CN"/>
        </w:rPr>
        <w:t xml:space="preserve"> </w:t>
      </w:r>
      <w:r w:rsidR="004F4DA1">
        <w:rPr>
          <w:lang w:eastAsia="zh-CN"/>
        </w:rPr>
        <w:t xml:space="preserve">a </w:t>
      </w:r>
      <w:r w:rsidR="00503889">
        <w:rPr>
          <w:lang w:eastAsia="zh-CN"/>
        </w:rPr>
        <w:t>large</w:t>
      </w:r>
      <w:r w:rsidR="0027409B">
        <w:rPr>
          <w:lang w:eastAsia="zh-CN"/>
        </w:rPr>
        <w:t>r</w:t>
      </w:r>
      <w:r w:rsidR="00503889">
        <w:rPr>
          <w:lang w:eastAsia="zh-CN"/>
        </w:rPr>
        <w:t xml:space="preserve"> shock to the system (relative to merchant </w:t>
      </w:r>
      <w:r w:rsidR="003271B4">
        <w:rPr>
          <w:lang w:eastAsia="zh-CN"/>
        </w:rPr>
        <w:t>developers</w:t>
      </w:r>
      <w:r w:rsidR="00503889">
        <w:rPr>
          <w:lang w:eastAsia="zh-CN"/>
        </w:rPr>
        <w:t xml:space="preserve">) because </w:t>
      </w:r>
      <w:r w:rsidR="00E6243B">
        <w:rPr>
          <w:lang w:eastAsia="zh-CN"/>
        </w:rPr>
        <w:t>the decision</w:t>
      </w:r>
      <w:r w:rsidR="00945FFF">
        <w:rPr>
          <w:lang w:eastAsia="zh-CN"/>
        </w:rPr>
        <w:t>s</w:t>
      </w:r>
      <w:r w:rsidR="00E6243B">
        <w:rPr>
          <w:lang w:eastAsia="zh-CN"/>
        </w:rPr>
        <w:t xml:space="preserve"> about the timing </w:t>
      </w:r>
      <w:r w:rsidR="004F4DA1">
        <w:rPr>
          <w:lang w:eastAsia="zh-CN"/>
        </w:rPr>
        <w:t xml:space="preserve">and/or quantity </w:t>
      </w:r>
      <w:r w:rsidR="00E6243B">
        <w:rPr>
          <w:lang w:eastAsia="zh-CN"/>
        </w:rPr>
        <w:t xml:space="preserve">of </w:t>
      </w:r>
      <w:r w:rsidR="00ED0326">
        <w:rPr>
          <w:lang w:eastAsia="zh-CN"/>
        </w:rPr>
        <w:t>new</w:t>
      </w:r>
      <w:r w:rsidR="00E6243B">
        <w:rPr>
          <w:lang w:eastAsia="zh-CN"/>
        </w:rPr>
        <w:t xml:space="preserve"> entry </w:t>
      </w:r>
      <w:r w:rsidR="00D21B17">
        <w:rPr>
          <w:lang w:eastAsia="zh-CN"/>
        </w:rPr>
        <w:t>are</w:t>
      </w:r>
      <w:r w:rsidR="00ED0326">
        <w:rPr>
          <w:lang w:eastAsia="zh-CN"/>
        </w:rPr>
        <w:t>:</w:t>
      </w:r>
      <w:r w:rsidR="00B95A61">
        <w:rPr>
          <w:lang w:eastAsia="zh-CN"/>
        </w:rPr>
        <w:t xml:space="preserve"> </w:t>
      </w:r>
      <w:r w:rsidR="005F1345">
        <w:rPr>
          <w:lang w:eastAsia="zh-CN"/>
        </w:rPr>
        <w:t>(a) less dependent on the market conditions</w:t>
      </w:r>
      <w:r w:rsidR="00D21B17">
        <w:rPr>
          <w:lang w:eastAsia="zh-CN"/>
        </w:rPr>
        <w:t xml:space="preserve">, </w:t>
      </w:r>
      <w:r w:rsidR="00E27A77">
        <w:rPr>
          <w:lang w:eastAsia="zh-CN"/>
        </w:rPr>
        <w:t>about</w:t>
      </w:r>
      <w:r w:rsidR="001214EA">
        <w:rPr>
          <w:lang w:eastAsia="zh-CN"/>
        </w:rPr>
        <w:t xml:space="preserve"> </w:t>
      </w:r>
      <w:r w:rsidR="00D21B17">
        <w:rPr>
          <w:lang w:eastAsia="zh-CN"/>
        </w:rPr>
        <w:t xml:space="preserve">which participants can </w:t>
      </w:r>
      <w:r w:rsidR="001214EA">
        <w:rPr>
          <w:lang w:eastAsia="zh-CN"/>
        </w:rPr>
        <w:t>develop reasonable expectations</w:t>
      </w:r>
      <w:r w:rsidR="001E5B66">
        <w:rPr>
          <w:lang w:eastAsia="zh-CN"/>
        </w:rPr>
        <w:t xml:space="preserve">, and (b) </w:t>
      </w:r>
      <w:r w:rsidR="001214EA">
        <w:rPr>
          <w:lang w:eastAsia="zh-CN"/>
        </w:rPr>
        <w:t xml:space="preserve">more dependent on </w:t>
      </w:r>
      <w:r w:rsidR="003607E4">
        <w:rPr>
          <w:lang w:eastAsia="zh-CN"/>
        </w:rPr>
        <w:t xml:space="preserve">the characteristics of the policy support, which may or may not </w:t>
      </w:r>
      <w:r w:rsidR="00112659">
        <w:rPr>
          <w:lang w:eastAsia="zh-CN"/>
        </w:rPr>
        <w:t xml:space="preserve">have </w:t>
      </w:r>
      <w:r w:rsidR="003607E4">
        <w:rPr>
          <w:lang w:eastAsia="zh-CN"/>
        </w:rPr>
        <w:t>be</w:t>
      </w:r>
      <w:r w:rsidR="00112659">
        <w:rPr>
          <w:lang w:eastAsia="zh-CN"/>
        </w:rPr>
        <w:t>en anticipated.</w:t>
      </w:r>
      <w:r w:rsidR="00766A92">
        <w:rPr>
          <w:rStyle w:val="FootnoteReference"/>
          <w:lang w:eastAsia="zh-CN"/>
        </w:rPr>
        <w:footnoteReference w:id="4"/>
      </w:r>
      <w:r w:rsidR="00112659">
        <w:rPr>
          <w:lang w:eastAsia="zh-CN"/>
        </w:rPr>
        <w:t xml:space="preserve">  </w:t>
      </w:r>
      <w:r w:rsidR="003A29F9">
        <w:rPr>
          <w:lang w:eastAsia="zh-CN"/>
        </w:rPr>
        <w:t>Since</w:t>
      </w:r>
      <w:r w:rsidR="003A29F9" w:rsidRPr="003A29F9">
        <w:rPr>
          <w:lang w:eastAsia="zh-CN"/>
        </w:rPr>
        <w:t xml:space="preserve"> the investment and retirement responses to these shocks can take years to materialize, </w:t>
      </w:r>
      <w:r w:rsidR="00112659">
        <w:rPr>
          <w:lang w:eastAsia="zh-CN"/>
        </w:rPr>
        <w:t>out-of-market entry</w:t>
      </w:r>
      <w:r w:rsidR="003A29F9" w:rsidRPr="003A29F9">
        <w:rPr>
          <w:lang w:eastAsia="zh-CN"/>
        </w:rPr>
        <w:t xml:space="preserve"> can significantly affect prices in the short to medium term</w:t>
      </w:r>
      <w:r w:rsidR="00F53C63">
        <w:rPr>
          <w:lang w:eastAsia="zh-CN"/>
        </w:rPr>
        <w:t xml:space="preserve">.  </w:t>
      </w:r>
      <w:r w:rsidR="006F0327">
        <w:rPr>
          <w:lang w:eastAsia="zh-CN"/>
        </w:rPr>
        <w:t>The</w:t>
      </w:r>
      <w:r w:rsidR="006F0327" w:rsidRPr="006F0327">
        <w:rPr>
          <w:lang w:eastAsia="zh-CN"/>
        </w:rPr>
        <w:t xml:space="preserve"> MOPR </w:t>
      </w:r>
      <w:r w:rsidR="006F0327">
        <w:rPr>
          <w:lang w:eastAsia="zh-CN"/>
        </w:rPr>
        <w:t xml:space="preserve">provisions </w:t>
      </w:r>
      <w:r w:rsidR="006F0327" w:rsidRPr="006F0327">
        <w:rPr>
          <w:lang w:eastAsia="zh-CN"/>
        </w:rPr>
        <w:t>tend to moderate the price effects of out-of-market entry and exit.</w:t>
      </w:r>
      <w:r w:rsidR="00123368">
        <w:rPr>
          <w:lang w:eastAsia="zh-CN"/>
        </w:rPr>
        <w:t xml:space="preserve">  </w:t>
      </w:r>
    </w:p>
    <w:p w14:paraId="5B40E247" w14:textId="29D316B1" w:rsidR="00EB1B19" w:rsidRDefault="00AB759A" w:rsidP="00997902">
      <w:pPr>
        <w:pStyle w:val="rptmainbodyheading3"/>
        <w:rPr>
          <w:lang w:eastAsia="zh-CN"/>
        </w:rPr>
      </w:pPr>
      <w:r>
        <w:rPr>
          <w:lang w:eastAsia="zh-CN"/>
        </w:rPr>
        <w:lastRenderedPageBreak/>
        <w:t>Effects</w:t>
      </w:r>
      <w:r w:rsidR="002D7D10">
        <w:rPr>
          <w:lang w:eastAsia="zh-CN"/>
        </w:rPr>
        <w:t xml:space="preserve"> of Policy-Driven</w:t>
      </w:r>
      <w:r w:rsidR="005707F9">
        <w:rPr>
          <w:lang w:eastAsia="zh-CN"/>
        </w:rPr>
        <w:t xml:space="preserve"> Investment</w:t>
      </w:r>
      <w:r w:rsidR="0041793A">
        <w:rPr>
          <w:lang w:eastAsia="zh-CN"/>
        </w:rPr>
        <w:t xml:space="preserve"> and Merchant</w:t>
      </w:r>
      <w:r w:rsidR="002D7D10">
        <w:rPr>
          <w:lang w:eastAsia="zh-CN"/>
        </w:rPr>
        <w:t xml:space="preserve"> Investment</w:t>
      </w:r>
      <w:r w:rsidR="0041793A">
        <w:rPr>
          <w:lang w:eastAsia="zh-CN"/>
        </w:rPr>
        <w:t xml:space="preserve"> on Price Formation</w:t>
      </w:r>
    </w:p>
    <w:p w14:paraId="7312450B" w14:textId="1EE4DA86" w:rsidR="005B185E" w:rsidRPr="003D1CA5" w:rsidRDefault="000A0C09" w:rsidP="003D1CA5">
      <w:pPr>
        <w:pStyle w:val="rptmainbodytext"/>
        <w:rPr>
          <w:lang w:eastAsia="zh-CN"/>
        </w:rPr>
      </w:pPr>
      <w:r>
        <w:rPr>
          <w:lang w:eastAsia="zh-CN"/>
        </w:rPr>
        <w:t>T</w:t>
      </w:r>
      <w:r w:rsidR="004970F3">
        <w:rPr>
          <w:lang w:eastAsia="zh-CN"/>
        </w:rPr>
        <w:t xml:space="preserve">he following </w:t>
      </w:r>
      <w:r w:rsidR="00191855">
        <w:rPr>
          <w:lang w:eastAsia="zh-CN"/>
        </w:rPr>
        <w:t>four</w:t>
      </w:r>
      <w:r w:rsidR="004970F3">
        <w:rPr>
          <w:lang w:eastAsia="zh-CN"/>
        </w:rPr>
        <w:t xml:space="preserve"> figures</w:t>
      </w:r>
      <w:r w:rsidR="005B185E">
        <w:rPr>
          <w:lang w:eastAsia="zh-CN"/>
        </w:rPr>
        <w:t xml:space="preserve"> illustrate </w:t>
      </w:r>
      <w:r w:rsidR="00471F28">
        <w:rPr>
          <w:lang w:eastAsia="zh-CN"/>
        </w:rPr>
        <w:t>how</w:t>
      </w:r>
      <w:r w:rsidR="005B185E">
        <w:rPr>
          <w:lang w:eastAsia="zh-CN"/>
        </w:rPr>
        <w:t xml:space="preserve"> </w:t>
      </w:r>
      <w:r w:rsidR="00C063F1">
        <w:rPr>
          <w:lang w:eastAsia="zh-CN"/>
        </w:rPr>
        <w:t xml:space="preserve">price </w:t>
      </w:r>
      <w:r w:rsidR="00471F28">
        <w:rPr>
          <w:lang w:eastAsia="zh-CN"/>
        </w:rPr>
        <w:t>volatility varies</w:t>
      </w:r>
      <w:r w:rsidR="004970F3">
        <w:rPr>
          <w:lang w:eastAsia="zh-CN"/>
        </w:rPr>
        <w:t xml:space="preserve"> across </w:t>
      </w:r>
      <w:r w:rsidR="003C022F">
        <w:rPr>
          <w:lang w:eastAsia="zh-CN"/>
        </w:rPr>
        <w:t xml:space="preserve">markets </w:t>
      </w:r>
      <w:r w:rsidR="00471F28">
        <w:rPr>
          <w:lang w:eastAsia="zh-CN"/>
        </w:rPr>
        <w:t xml:space="preserve">according to the </w:t>
      </w:r>
      <w:r w:rsidR="004B5996">
        <w:rPr>
          <w:lang w:eastAsia="zh-CN"/>
        </w:rPr>
        <w:t>scale</w:t>
      </w:r>
      <w:r w:rsidR="00471F28">
        <w:rPr>
          <w:lang w:eastAsia="zh-CN"/>
        </w:rPr>
        <w:t xml:space="preserve"> of</w:t>
      </w:r>
      <w:r w:rsidR="003C022F">
        <w:rPr>
          <w:lang w:eastAsia="zh-CN"/>
        </w:rPr>
        <w:t xml:space="preserve"> out-of-market changes in supply and demand.</w:t>
      </w:r>
    </w:p>
    <w:p w14:paraId="14397ABE" w14:textId="3807965E" w:rsidR="003D1CA5" w:rsidRDefault="000444B4" w:rsidP="003D1CA5">
      <w:pPr>
        <w:pStyle w:val="rptmainbodytext"/>
        <w:rPr>
          <w:lang w:eastAsia="zh-CN"/>
        </w:rPr>
      </w:pPr>
      <w:r>
        <w:rPr>
          <w:lang w:eastAsia="zh-CN"/>
        </w:rPr>
        <w:fldChar w:fldCharType="begin"/>
      </w:r>
      <w:r>
        <w:rPr>
          <w:lang w:eastAsia="zh-CN"/>
        </w:rPr>
        <w:instrText xml:space="preserve"> REF _Ref72270345 \h </w:instrText>
      </w:r>
      <w:r>
        <w:rPr>
          <w:lang w:eastAsia="zh-CN"/>
        </w:rPr>
      </w:r>
      <w:r>
        <w:rPr>
          <w:lang w:eastAsia="zh-CN"/>
        </w:rPr>
        <w:fldChar w:fldCharType="separate"/>
      </w:r>
      <w:r>
        <w:t xml:space="preserve">Figure </w:t>
      </w:r>
      <w:r>
        <w:rPr>
          <w:noProof/>
        </w:rPr>
        <w:t>1</w:t>
      </w:r>
      <w:r>
        <w:rPr>
          <w:lang w:eastAsia="zh-CN"/>
        </w:rPr>
        <w:fldChar w:fldCharType="end"/>
      </w:r>
      <w:r w:rsidR="00C273E9">
        <w:rPr>
          <w:lang w:eastAsia="zh-CN"/>
        </w:rPr>
        <w:t xml:space="preserve"> shows how the prices </w:t>
      </w:r>
      <w:r w:rsidR="00E2096B">
        <w:rPr>
          <w:lang w:eastAsia="zh-CN"/>
        </w:rPr>
        <w:t xml:space="preserve">fluctuate </w:t>
      </w:r>
      <w:r w:rsidR="00C273E9">
        <w:rPr>
          <w:lang w:eastAsia="zh-CN"/>
        </w:rPr>
        <w:t xml:space="preserve">over </w:t>
      </w:r>
      <w:r w:rsidR="00D42343">
        <w:rPr>
          <w:lang w:eastAsia="zh-CN"/>
        </w:rPr>
        <w:t xml:space="preserve">a five-year period </w:t>
      </w:r>
      <w:r w:rsidR="00C273E9">
        <w:rPr>
          <w:lang w:eastAsia="zh-CN"/>
        </w:rPr>
        <w:t>around the Net CONE in a competitive market.</w:t>
      </w:r>
      <w:r w:rsidR="008442F9">
        <w:rPr>
          <w:lang w:eastAsia="zh-CN"/>
        </w:rPr>
        <w:t xml:space="preserve">  In year 1, approximately 32,600 MW of existing supply is offered into the capacity market with delist bids of less than $5.30, leading to a clearing price of approximately $7/kW-month</w:t>
      </w:r>
      <w:r w:rsidR="00262ED2">
        <w:rPr>
          <w:lang w:eastAsia="zh-CN"/>
        </w:rPr>
        <w:t xml:space="preserve"> (see “P1”)</w:t>
      </w:r>
      <w:r w:rsidR="008442F9">
        <w:rPr>
          <w:lang w:eastAsia="zh-CN"/>
        </w:rPr>
        <w:t>.</w:t>
      </w:r>
      <w:r w:rsidR="00C273E9">
        <w:rPr>
          <w:lang w:eastAsia="zh-CN"/>
        </w:rPr>
        <w:t xml:space="preserve">  In this scenario, a modest amount of load growth increases the demand every year</w:t>
      </w:r>
      <w:r w:rsidR="005D0D61">
        <w:rPr>
          <w:lang w:eastAsia="zh-CN"/>
        </w:rPr>
        <w:t xml:space="preserve"> (by ~0.8 percent)</w:t>
      </w:r>
      <w:r w:rsidR="008D102A">
        <w:rPr>
          <w:lang w:eastAsia="zh-CN"/>
        </w:rPr>
        <w:t>, leading to a rightward shift in the demand curve each year from year 1 to year 5.</w:t>
      </w:r>
      <w:r w:rsidR="00AC284F">
        <w:rPr>
          <w:lang w:eastAsia="zh-CN"/>
        </w:rPr>
        <w:t xml:space="preserve">  A small</w:t>
      </w:r>
      <w:r w:rsidR="00191134">
        <w:rPr>
          <w:lang w:eastAsia="zh-CN"/>
        </w:rPr>
        <w:t xml:space="preserve"> amount of existing supply</w:t>
      </w:r>
      <w:r w:rsidR="006E00B4">
        <w:rPr>
          <w:lang w:eastAsia="zh-CN"/>
        </w:rPr>
        <w:t xml:space="preserve"> (~50 MW)</w:t>
      </w:r>
      <w:r w:rsidR="00191134">
        <w:rPr>
          <w:lang w:eastAsia="zh-CN"/>
        </w:rPr>
        <w:t xml:space="preserve"> is lost to attrition every year, </w:t>
      </w:r>
      <w:r w:rsidR="00B938EC">
        <w:rPr>
          <w:lang w:eastAsia="zh-CN"/>
        </w:rPr>
        <w:t>contribut</w:t>
      </w:r>
      <w:r w:rsidR="00191134">
        <w:rPr>
          <w:lang w:eastAsia="zh-CN"/>
        </w:rPr>
        <w:t xml:space="preserve">ing </w:t>
      </w:r>
      <w:r w:rsidR="006E00B4">
        <w:rPr>
          <w:lang w:eastAsia="zh-CN"/>
        </w:rPr>
        <w:t xml:space="preserve">a small leftward shift </w:t>
      </w:r>
      <w:r w:rsidR="00B938EC">
        <w:rPr>
          <w:lang w:eastAsia="zh-CN"/>
        </w:rPr>
        <w:t>to the</w:t>
      </w:r>
      <w:r w:rsidR="006E00B4">
        <w:rPr>
          <w:lang w:eastAsia="zh-CN"/>
        </w:rPr>
        <w:t xml:space="preserve"> existing supply from each year to the next.</w:t>
      </w:r>
      <w:r w:rsidR="00C273E9">
        <w:rPr>
          <w:lang w:eastAsia="zh-CN"/>
        </w:rPr>
        <w:t xml:space="preserve"> </w:t>
      </w:r>
      <w:r w:rsidR="00B938EC">
        <w:rPr>
          <w:lang w:eastAsia="zh-CN"/>
        </w:rPr>
        <w:t xml:space="preserve"> </w:t>
      </w:r>
      <w:r w:rsidR="00FF70DB">
        <w:rPr>
          <w:lang w:eastAsia="zh-CN"/>
        </w:rPr>
        <w:t>New supply resources offer capacity in the first year: 350 MW a</w:t>
      </w:r>
      <w:r w:rsidR="003C4333">
        <w:rPr>
          <w:lang w:eastAsia="zh-CN"/>
        </w:rPr>
        <w:t>t $6.75, 350 MW at $7.00,</w:t>
      </w:r>
      <w:r w:rsidR="003C4333" w:rsidRPr="003C4333">
        <w:rPr>
          <w:lang w:eastAsia="zh-CN"/>
        </w:rPr>
        <w:t xml:space="preserve"> </w:t>
      </w:r>
      <w:r w:rsidR="003C4333">
        <w:rPr>
          <w:lang w:eastAsia="zh-CN"/>
        </w:rPr>
        <w:t>350 MW at $7.25, etc</w:t>
      </w:r>
      <w:r w:rsidR="00353D74">
        <w:rPr>
          <w:lang w:eastAsia="zh-CN"/>
        </w:rPr>
        <w:t xml:space="preserve">., and </w:t>
      </w:r>
      <w:r w:rsidR="007F0780">
        <w:rPr>
          <w:lang w:eastAsia="zh-CN"/>
        </w:rPr>
        <w:t xml:space="preserve">the Net CONE falls slightly for each </w:t>
      </w:r>
      <w:r w:rsidR="008467B2">
        <w:rPr>
          <w:lang w:eastAsia="zh-CN"/>
        </w:rPr>
        <w:t>new resource</w:t>
      </w:r>
      <w:r w:rsidR="00525D23">
        <w:rPr>
          <w:lang w:eastAsia="zh-CN"/>
        </w:rPr>
        <w:t xml:space="preserve"> each year</w:t>
      </w:r>
      <w:r w:rsidR="008467B2">
        <w:rPr>
          <w:lang w:eastAsia="zh-CN"/>
        </w:rPr>
        <w:t xml:space="preserve"> until it clears the market.</w:t>
      </w:r>
      <w:r w:rsidR="003C4333">
        <w:rPr>
          <w:lang w:eastAsia="zh-CN"/>
        </w:rPr>
        <w:t xml:space="preserve">  </w:t>
      </w:r>
      <w:r w:rsidR="000D17C7">
        <w:rPr>
          <w:lang w:eastAsia="zh-CN"/>
        </w:rPr>
        <w:t xml:space="preserve">One 350 MW project clears in </w:t>
      </w:r>
      <w:r w:rsidR="001003A1">
        <w:rPr>
          <w:lang w:eastAsia="zh-CN"/>
        </w:rPr>
        <w:t xml:space="preserve">each year from </w:t>
      </w:r>
      <w:r w:rsidR="000D17C7">
        <w:rPr>
          <w:lang w:eastAsia="zh-CN"/>
        </w:rPr>
        <w:t xml:space="preserve">year 2 to </w:t>
      </w:r>
      <w:r w:rsidR="001003A1">
        <w:rPr>
          <w:lang w:eastAsia="zh-CN"/>
        </w:rPr>
        <w:t xml:space="preserve">year </w:t>
      </w:r>
      <w:r w:rsidR="000D17C7">
        <w:rPr>
          <w:lang w:eastAsia="zh-CN"/>
        </w:rPr>
        <w:t>5</w:t>
      </w:r>
      <w:r w:rsidR="00515290">
        <w:rPr>
          <w:lang w:eastAsia="zh-CN"/>
        </w:rPr>
        <w:t>, leading the existin</w:t>
      </w:r>
      <w:r w:rsidR="00D54051">
        <w:rPr>
          <w:lang w:eastAsia="zh-CN"/>
        </w:rPr>
        <w:t>g</w:t>
      </w:r>
      <w:r w:rsidR="00515290">
        <w:rPr>
          <w:lang w:eastAsia="zh-CN"/>
        </w:rPr>
        <w:t xml:space="preserve"> supply to shift right in each year after year 2</w:t>
      </w:r>
      <w:r w:rsidR="001003A1">
        <w:rPr>
          <w:lang w:eastAsia="zh-CN"/>
        </w:rPr>
        <w:t xml:space="preserve">.  </w:t>
      </w:r>
      <w:r w:rsidR="00C12ED2">
        <w:rPr>
          <w:lang w:eastAsia="zh-CN"/>
        </w:rPr>
        <w:t xml:space="preserve">These </w:t>
      </w:r>
      <w:r w:rsidR="001003A1">
        <w:rPr>
          <w:lang w:eastAsia="zh-CN"/>
        </w:rPr>
        <w:t>conditions</w:t>
      </w:r>
      <w:r w:rsidR="00C273E9">
        <w:rPr>
          <w:lang w:eastAsia="zh-CN"/>
        </w:rPr>
        <w:t xml:space="preserve"> </w:t>
      </w:r>
      <w:r w:rsidR="00375B5A">
        <w:rPr>
          <w:lang w:eastAsia="zh-CN"/>
        </w:rPr>
        <w:t>combine to produce clearing prices that fluctuate around the Net CONE</w:t>
      </w:r>
      <w:r w:rsidR="00D53A00">
        <w:rPr>
          <w:lang w:eastAsia="zh-CN"/>
        </w:rPr>
        <w:t xml:space="preserve"> as prospective new entrants</w:t>
      </w:r>
      <w:r w:rsidR="00FB7311">
        <w:rPr>
          <w:lang w:eastAsia="zh-CN"/>
        </w:rPr>
        <w:t xml:space="preserve"> make</w:t>
      </w:r>
      <w:r w:rsidR="008D7038">
        <w:rPr>
          <w:lang w:eastAsia="zh-CN"/>
        </w:rPr>
        <w:t xml:space="preserve"> decisions to</w:t>
      </w:r>
      <w:r w:rsidR="00FB7311">
        <w:rPr>
          <w:lang w:eastAsia="zh-CN"/>
        </w:rPr>
        <w:t xml:space="preserve"> invest</w:t>
      </w:r>
      <w:r w:rsidR="008D7038">
        <w:rPr>
          <w:lang w:eastAsia="zh-CN"/>
        </w:rPr>
        <w:t xml:space="preserve"> (or not)</w:t>
      </w:r>
      <w:r w:rsidR="00FB7311">
        <w:rPr>
          <w:lang w:eastAsia="zh-CN"/>
        </w:rPr>
        <w:t xml:space="preserve"> that naturally push prices </w:t>
      </w:r>
      <w:r w:rsidR="00A87948">
        <w:rPr>
          <w:lang w:eastAsia="zh-CN"/>
        </w:rPr>
        <w:t xml:space="preserve">towards Net CONE.  </w:t>
      </w:r>
    </w:p>
    <w:p w14:paraId="45123438" w14:textId="33FF067E" w:rsidR="009D01D6" w:rsidRDefault="009D01D6" w:rsidP="009D01D6">
      <w:pPr>
        <w:pStyle w:val="rptmainbodyfiguretitle1"/>
        <w:rPr>
          <w:rFonts w:eastAsiaTheme="minorHAnsi"/>
        </w:rPr>
      </w:pPr>
      <w:bookmarkStart w:id="882" w:name="_Ref72270345"/>
      <w:bookmarkStart w:id="883" w:name="_Ref40184030"/>
      <w:bookmarkStart w:id="884" w:name="_Toc41713506"/>
      <w:bookmarkStart w:id="885" w:name="_Toc86727530"/>
      <w:r>
        <w:t xml:space="preserve">Figure </w:t>
      </w:r>
      <w:r w:rsidRPr="003A7048">
        <w:fldChar w:fldCharType="begin"/>
      </w:r>
      <w:r>
        <w:instrText xml:space="preserve"> SEQ Figure \* ARABIC </w:instrText>
      </w:r>
      <w:r w:rsidRPr="003A7048">
        <w:fldChar w:fldCharType="separate"/>
      </w:r>
      <w:r w:rsidR="00401666">
        <w:rPr>
          <w:noProof/>
        </w:rPr>
        <w:t>1</w:t>
      </w:r>
      <w:r w:rsidRPr="003A7048">
        <w:fldChar w:fldCharType="end"/>
      </w:r>
      <w:bookmarkEnd w:id="882"/>
      <w:r>
        <w:t xml:space="preserve">: </w:t>
      </w:r>
      <w:bookmarkEnd w:id="883"/>
      <w:bookmarkEnd w:id="884"/>
      <w:r w:rsidR="00CA545D">
        <w:rPr>
          <w:lang w:eastAsia="zh-CN"/>
        </w:rPr>
        <w:t>Capacity Price</w:t>
      </w:r>
      <w:r w:rsidR="008170E3">
        <w:rPr>
          <w:lang w:eastAsia="zh-CN"/>
        </w:rPr>
        <w:t xml:space="preserve"> Formation</w:t>
      </w:r>
      <w:r w:rsidR="00CA545D">
        <w:rPr>
          <w:rFonts w:eastAsiaTheme="minorHAnsi"/>
          <w:lang w:eastAsia="zh-CN"/>
        </w:rPr>
        <w:t xml:space="preserve"> in </w:t>
      </w:r>
      <w:r w:rsidR="00CA545D">
        <w:rPr>
          <w:lang w:eastAsia="zh-CN"/>
        </w:rPr>
        <w:t>a Competitive Market</w:t>
      </w:r>
      <w:bookmarkEnd w:id="885"/>
      <w:r w:rsidRPr="00192A05">
        <w:rPr>
          <w:rFonts w:eastAsiaTheme="minorHAnsi"/>
        </w:rPr>
        <w:t xml:space="preserve"> </w:t>
      </w:r>
    </w:p>
    <w:p w14:paraId="4BA3B22F" w14:textId="0C55985B" w:rsidR="00BC6D28" w:rsidRPr="008F02F1" w:rsidRDefault="00BC6D28" w:rsidP="009446A9">
      <w:pPr>
        <w:pStyle w:val="rptmainbodyfiguretitle2"/>
        <w:rPr>
          <w:rFonts w:eastAsiaTheme="minorHAnsi"/>
        </w:rPr>
      </w:pPr>
      <w:r>
        <w:rPr>
          <w:rFonts w:eastAsiaTheme="minorHAnsi"/>
        </w:rPr>
        <w:t>Gradual Demand Growth &amp; Competitive Merchant Entry</w:t>
      </w:r>
    </w:p>
    <w:p w14:paraId="4B7C055C" w14:textId="42083DBA" w:rsidR="00013E7B" w:rsidRDefault="00013E7B" w:rsidP="00013E7B">
      <w:pPr>
        <w:pStyle w:val="rptmainbodyfigure"/>
        <w:rPr>
          <w:lang w:eastAsia="zh-CN"/>
        </w:rPr>
      </w:pPr>
      <w:r w:rsidRPr="00013E7B">
        <w:drawing>
          <wp:inline distT="0" distB="0" distL="0" distR="0" wp14:anchorId="5134E4E2" wp14:editId="5CE0959E">
            <wp:extent cx="5357609" cy="3657600"/>
            <wp:effectExtent l="0" t="0" r="0" b="0"/>
            <wp:docPr id="5" name="Picture 4">
              <a:extLst xmlns:a="http://schemas.openxmlformats.org/drawingml/2006/main">
                <a:ext uri="{FF2B5EF4-FFF2-40B4-BE49-F238E27FC236}">
                  <a16:creationId xmlns:a16="http://schemas.microsoft.com/office/drawing/2014/main" id="{48092AD4-152D-4DCF-87EC-63FE2CDD2DDE}"/>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Picture 4">
                      <a:extLst>
                        <a:ext uri="{FF2B5EF4-FFF2-40B4-BE49-F238E27FC236}">
                          <a16:creationId xmlns:a16="http://schemas.microsoft.com/office/drawing/2014/main" id="{48092AD4-152D-4DCF-87EC-63FE2CDD2DDE}"/>
                        </a:ext>
                      </a:extLst>
                    </pic:cNvPr>
                    <pic:cNvPicPr>
                      <a:picLocks noChangeAspect="1"/>
                    </pic:cNvPicPr>
                  </pic:nvPicPr>
                  <pic:blipFill rotWithShape="1">
                    <a:blip r:embed="rId24"/>
                    <a:srcRect b="5946"/>
                    <a:stretch/>
                  </pic:blipFill>
                  <pic:spPr>
                    <a:xfrm>
                      <a:off x="0" y="0"/>
                      <a:ext cx="5357609" cy="3657600"/>
                    </a:xfrm>
                    <a:prstGeom prst="rect">
                      <a:avLst/>
                    </a:prstGeom>
                  </pic:spPr>
                </pic:pic>
              </a:graphicData>
            </a:graphic>
          </wp:inline>
        </w:drawing>
      </w:r>
    </w:p>
    <w:p w14:paraId="583BE4F3" w14:textId="47744DC7" w:rsidR="007C593D" w:rsidRDefault="000444B4" w:rsidP="003D1CA5">
      <w:pPr>
        <w:pStyle w:val="rptmainbodytext"/>
        <w:rPr>
          <w:lang w:eastAsia="zh-CN"/>
        </w:rPr>
      </w:pPr>
      <w:r>
        <w:rPr>
          <w:lang w:eastAsia="zh-CN"/>
        </w:rPr>
        <w:fldChar w:fldCharType="begin"/>
      </w:r>
      <w:r>
        <w:rPr>
          <w:lang w:eastAsia="zh-CN"/>
        </w:rPr>
        <w:instrText xml:space="preserve"> REF _Ref84322906 \h </w:instrText>
      </w:r>
      <w:r>
        <w:rPr>
          <w:lang w:eastAsia="zh-CN"/>
        </w:rPr>
      </w:r>
      <w:r>
        <w:rPr>
          <w:lang w:eastAsia="zh-CN"/>
        </w:rPr>
        <w:fldChar w:fldCharType="separate"/>
      </w:r>
      <w:r>
        <w:t xml:space="preserve">Figure </w:t>
      </w:r>
      <w:r>
        <w:rPr>
          <w:noProof/>
        </w:rPr>
        <w:t>2</w:t>
      </w:r>
      <w:r>
        <w:rPr>
          <w:lang w:eastAsia="zh-CN"/>
        </w:rPr>
        <w:fldChar w:fldCharType="end"/>
      </w:r>
      <w:r w:rsidR="007C593D">
        <w:rPr>
          <w:lang w:eastAsia="zh-CN"/>
        </w:rPr>
        <w:t xml:space="preserve"> shows</w:t>
      </w:r>
      <w:r w:rsidR="00A20E0D">
        <w:rPr>
          <w:lang w:eastAsia="zh-CN"/>
        </w:rPr>
        <w:t xml:space="preserve"> how the prices would </w:t>
      </w:r>
      <w:r w:rsidR="00DB6B18">
        <w:rPr>
          <w:lang w:eastAsia="zh-CN"/>
        </w:rPr>
        <w:t>tend to increase as a result of</w:t>
      </w:r>
      <w:r w:rsidR="000205B2">
        <w:rPr>
          <w:lang w:eastAsia="zh-CN"/>
        </w:rPr>
        <w:t xml:space="preserve"> </w:t>
      </w:r>
      <w:r w:rsidR="00DB6B18">
        <w:rPr>
          <w:lang w:eastAsia="zh-CN"/>
        </w:rPr>
        <w:t xml:space="preserve">higher </w:t>
      </w:r>
      <w:r w:rsidR="000205B2" w:rsidRPr="000205B2">
        <w:rPr>
          <w:lang w:eastAsia="zh-CN"/>
        </w:rPr>
        <w:t xml:space="preserve">demand growth due to </w:t>
      </w:r>
      <w:r w:rsidR="00123B6A">
        <w:rPr>
          <w:lang w:eastAsia="zh-CN"/>
        </w:rPr>
        <w:t xml:space="preserve">policies to </w:t>
      </w:r>
      <w:r w:rsidR="00123B6A" w:rsidRPr="000205B2">
        <w:rPr>
          <w:lang w:eastAsia="zh-CN"/>
        </w:rPr>
        <w:t>electrif</w:t>
      </w:r>
      <w:r w:rsidR="00123B6A">
        <w:rPr>
          <w:lang w:eastAsia="zh-CN"/>
        </w:rPr>
        <w:t xml:space="preserve">y the demand sector (e.g., programs to install electric vehicle charging stations </w:t>
      </w:r>
      <w:r w:rsidR="00123B6A">
        <w:rPr>
          <w:lang w:eastAsia="zh-CN"/>
        </w:rPr>
        <w:lastRenderedPageBreak/>
        <w:t xml:space="preserve">and </w:t>
      </w:r>
      <w:r w:rsidR="00067C21">
        <w:rPr>
          <w:lang w:eastAsia="zh-CN"/>
        </w:rPr>
        <w:t>convert residential gas furnaces over to heat pumps)</w:t>
      </w:r>
      <w:r w:rsidR="000B491A">
        <w:rPr>
          <w:lang w:eastAsia="zh-CN"/>
        </w:rPr>
        <w:t xml:space="preserve"> and reduced</w:t>
      </w:r>
      <w:r w:rsidR="00143436">
        <w:rPr>
          <w:lang w:eastAsia="zh-CN"/>
        </w:rPr>
        <w:t xml:space="preserve"> supply</w:t>
      </w:r>
      <w:r w:rsidR="000B491A">
        <w:rPr>
          <w:lang w:eastAsia="zh-CN"/>
        </w:rPr>
        <w:t xml:space="preserve"> investment</w:t>
      </w:r>
      <w:r w:rsidR="00143436">
        <w:rPr>
          <w:lang w:eastAsia="zh-CN"/>
        </w:rPr>
        <w:t xml:space="preserve"> due to policies to limit new</w:t>
      </w:r>
      <w:r w:rsidR="000205B2" w:rsidRPr="000205B2">
        <w:rPr>
          <w:lang w:eastAsia="zh-CN"/>
        </w:rPr>
        <w:t> investment in conventional resources</w:t>
      </w:r>
      <w:r w:rsidR="00D533DA">
        <w:rPr>
          <w:lang w:eastAsia="zh-CN"/>
        </w:rPr>
        <w:t>.</w:t>
      </w:r>
      <w:r w:rsidR="00243F93">
        <w:rPr>
          <w:lang w:eastAsia="zh-CN"/>
        </w:rPr>
        <w:t xml:space="preserve">  </w:t>
      </w:r>
      <w:r w:rsidR="007C6865">
        <w:rPr>
          <w:lang w:eastAsia="zh-CN"/>
        </w:rPr>
        <w:fldChar w:fldCharType="begin"/>
      </w:r>
      <w:r w:rsidR="007C6865">
        <w:rPr>
          <w:lang w:eastAsia="zh-CN"/>
        </w:rPr>
        <w:instrText xml:space="preserve"> REF _Ref84322906 \h </w:instrText>
      </w:r>
      <w:r w:rsidR="007C6865">
        <w:rPr>
          <w:lang w:eastAsia="zh-CN"/>
        </w:rPr>
      </w:r>
      <w:r w:rsidR="007C6865">
        <w:rPr>
          <w:lang w:eastAsia="zh-CN"/>
        </w:rPr>
        <w:fldChar w:fldCharType="separate"/>
      </w:r>
      <w:r w:rsidR="007C6865">
        <w:t xml:space="preserve">Figure </w:t>
      </w:r>
      <w:r w:rsidR="007C6865">
        <w:rPr>
          <w:noProof/>
        </w:rPr>
        <w:t>2</w:t>
      </w:r>
      <w:r w:rsidR="007C6865">
        <w:rPr>
          <w:lang w:eastAsia="zh-CN"/>
        </w:rPr>
        <w:fldChar w:fldCharType="end"/>
      </w:r>
      <w:r w:rsidR="007C6865">
        <w:rPr>
          <w:lang w:eastAsia="zh-CN"/>
        </w:rPr>
        <w:t xml:space="preserve"> is similar to the previous figure, but demand growth is much </w:t>
      </w:r>
      <w:r w:rsidR="00D54673">
        <w:rPr>
          <w:lang w:eastAsia="zh-CN"/>
        </w:rPr>
        <w:t>faster (~</w:t>
      </w:r>
      <w:r w:rsidR="00DA36FF">
        <w:rPr>
          <w:lang w:eastAsia="zh-CN"/>
        </w:rPr>
        <w:t>2.5 percent per year)</w:t>
      </w:r>
      <w:r w:rsidR="00C44601">
        <w:rPr>
          <w:lang w:eastAsia="zh-CN"/>
        </w:rPr>
        <w:t xml:space="preserve"> and the </w:t>
      </w:r>
      <w:r w:rsidR="0096307B">
        <w:rPr>
          <w:lang w:eastAsia="zh-CN"/>
        </w:rPr>
        <w:t>net cost of new entry rises 2 percent each</w:t>
      </w:r>
      <w:r w:rsidR="00A37C8F">
        <w:rPr>
          <w:lang w:eastAsia="zh-CN"/>
        </w:rPr>
        <w:t xml:space="preserve"> year</w:t>
      </w:r>
      <w:r w:rsidR="0096307B">
        <w:rPr>
          <w:lang w:eastAsia="zh-CN"/>
        </w:rPr>
        <w:t>.</w:t>
      </w:r>
      <w:r w:rsidR="000205B2" w:rsidRPr="000205B2">
        <w:rPr>
          <w:lang w:eastAsia="zh-CN"/>
        </w:rPr>
        <w:t xml:space="preserve"> </w:t>
      </w:r>
      <w:r w:rsidR="00D533DA">
        <w:rPr>
          <w:lang w:eastAsia="zh-CN"/>
        </w:rPr>
        <w:t xml:space="preserve"> </w:t>
      </w:r>
      <w:r w:rsidR="009E334B">
        <w:rPr>
          <w:lang w:eastAsia="zh-CN"/>
        </w:rPr>
        <w:t xml:space="preserve">This combination of policies would generally lead to higher and </w:t>
      </w:r>
      <w:r w:rsidR="00760950">
        <w:rPr>
          <w:lang w:eastAsia="zh-CN"/>
        </w:rPr>
        <w:t xml:space="preserve">slightly </w:t>
      </w:r>
      <w:r w:rsidR="009E334B">
        <w:rPr>
          <w:lang w:eastAsia="zh-CN"/>
        </w:rPr>
        <w:t>more volatile p</w:t>
      </w:r>
      <w:r w:rsidR="00D533DA">
        <w:rPr>
          <w:lang w:eastAsia="zh-CN"/>
        </w:rPr>
        <w:t xml:space="preserve">rices </w:t>
      </w:r>
      <w:r w:rsidR="009E334B">
        <w:rPr>
          <w:lang w:eastAsia="zh-CN"/>
        </w:rPr>
        <w:t>than those shown</w:t>
      </w:r>
      <w:r w:rsidR="00761091">
        <w:rPr>
          <w:lang w:eastAsia="zh-CN"/>
        </w:rPr>
        <w:t xml:space="preserve"> in</w:t>
      </w:r>
      <w:r w:rsidR="007E7490">
        <w:rPr>
          <w:lang w:eastAsia="zh-CN"/>
        </w:rPr>
        <w:t xml:space="preserve"> </w:t>
      </w:r>
      <w:r>
        <w:rPr>
          <w:lang w:eastAsia="zh-CN"/>
        </w:rPr>
        <w:fldChar w:fldCharType="begin"/>
      </w:r>
      <w:r>
        <w:rPr>
          <w:lang w:eastAsia="zh-CN"/>
        </w:rPr>
        <w:instrText xml:space="preserve"> REF _Ref72270345 \h </w:instrText>
      </w:r>
      <w:r>
        <w:rPr>
          <w:lang w:eastAsia="zh-CN"/>
        </w:rPr>
      </w:r>
      <w:r>
        <w:rPr>
          <w:lang w:eastAsia="zh-CN"/>
        </w:rPr>
        <w:fldChar w:fldCharType="separate"/>
      </w:r>
      <w:r>
        <w:t xml:space="preserve">Figure </w:t>
      </w:r>
      <w:r>
        <w:rPr>
          <w:noProof/>
        </w:rPr>
        <w:t>1</w:t>
      </w:r>
      <w:r>
        <w:rPr>
          <w:lang w:eastAsia="zh-CN"/>
        </w:rPr>
        <w:fldChar w:fldCharType="end"/>
      </w:r>
      <w:r w:rsidR="000205B2" w:rsidRPr="000205B2">
        <w:rPr>
          <w:lang w:eastAsia="zh-CN"/>
        </w:rPr>
        <w:t>.</w:t>
      </w:r>
      <w:r w:rsidR="00BB641C">
        <w:rPr>
          <w:lang w:eastAsia="zh-CN"/>
        </w:rPr>
        <w:t xml:space="preserve">  </w:t>
      </w:r>
    </w:p>
    <w:p w14:paraId="7C6EB730" w14:textId="6445AABE" w:rsidR="00DF1D29" w:rsidRDefault="00DF1D29" w:rsidP="00DF1D29">
      <w:pPr>
        <w:pStyle w:val="rptmainbodyfiguretitle1"/>
        <w:rPr>
          <w:lang w:eastAsia="zh-CN"/>
        </w:rPr>
      </w:pPr>
      <w:bookmarkStart w:id="886" w:name="_Ref84322906"/>
      <w:bookmarkStart w:id="887" w:name="_Toc86727531"/>
      <w:r>
        <w:t xml:space="preserve">Figure </w:t>
      </w:r>
      <w:r w:rsidRPr="003A7048">
        <w:fldChar w:fldCharType="begin"/>
      </w:r>
      <w:r>
        <w:instrText xml:space="preserve"> SEQ Figure \* ARABIC </w:instrText>
      </w:r>
      <w:r w:rsidRPr="003A7048">
        <w:fldChar w:fldCharType="separate"/>
      </w:r>
      <w:r w:rsidR="00401666">
        <w:rPr>
          <w:noProof/>
        </w:rPr>
        <w:t>2</w:t>
      </w:r>
      <w:r w:rsidRPr="003A7048">
        <w:fldChar w:fldCharType="end"/>
      </w:r>
      <w:bookmarkEnd w:id="886"/>
      <w:r>
        <w:t xml:space="preserve">: </w:t>
      </w:r>
      <w:r>
        <w:rPr>
          <w:lang w:eastAsia="zh-CN"/>
        </w:rPr>
        <w:t>Capacity Prices in a Market with Policy Intervention A</w:t>
      </w:r>
      <w:bookmarkEnd w:id="887"/>
    </w:p>
    <w:p w14:paraId="3E769FD4" w14:textId="77777777" w:rsidR="00DF1D29" w:rsidRPr="008F02F1" w:rsidRDefault="00DF1D29" w:rsidP="00DF1D29">
      <w:pPr>
        <w:pStyle w:val="rptmainbodyfiguretitle2"/>
        <w:rPr>
          <w:rFonts w:eastAsiaTheme="minorHAnsi"/>
        </w:rPr>
      </w:pPr>
      <w:r>
        <w:rPr>
          <w:lang w:eastAsia="zh-CN"/>
        </w:rPr>
        <w:t>High Electrification &amp; Limited New Fossil</w:t>
      </w:r>
    </w:p>
    <w:p w14:paraId="67DE575D" w14:textId="77777777" w:rsidR="00DF1D29" w:rsidRDefault="00DF1D29" w:rsidP="00DF1D29">
      <w:pPr>
        <w:pStyle w:val="rptmainbodyfigure"/>
        <w:rPr>
          <w:lang w:eastAsia="zh-CN"/>
        </w:rPr>
      </w:pPr>
      <w:r w:rsidRPr="00013E7B">
        <w:drawing>
          <wp:inline distT="0" distB="0" distL="0" distR="0" wp14:anchorId="57CA7256" wp14:editId="0C912822">
            <wp:extent cx="5355935" cy="3657600"/>
            <wp:effectExtent l="0" t="0" r="0" b="0"/>
            <wp:docPr id="448" name="Picture 7">
              <a:extLst xmlns:a="http://schemas.openxmlformats.org/drawingml/2006/main">
                <a:ext uri="{FF2B5EF4-FFF2-40B4-BE49-F238E27FC236}">
                  <a16:creationId xmlns:a16="http://schemas.microsoft.com/office/drawing/2014/main" id="{F3660DCF-0D32-4FD8-BE7F-EFE5F47FCD90}"/>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Picture 7">
                      <a:extLst>
                        <a:ext uri="{FF2B5EF4-FFF2-40B4-BE49-F238E27FC236}">
                          <a16:creationId xmlns:a16="http://schemas.microsoft.com/office/drawing/2014/main" id="{F3660DCF-0D32-4FD8-BE7F-EFE5F47FCD90}"/>
                        </a:ext>
                      </a:extLst>
                    </pic:cNvPr>
                    <pic:cNvPicPr>
                      <a:picLocks noChangeAspect="1"/>
                    </pic:cNvPicPr>
                  </pic:nvPicPr>
                  <pic:blipFill rotWithShape="1">
                    <a:blip r:embed="rId25"/>
                    <a:srcRect b="5900"/>
                    <a:stretch/>
                  </pic:blipFill>
                  <pic:spPr>
                    <a:xfrm>
                      <a:off x="0" y="0"/>
                      <a:ext cx="5355935" cy="3657600"/>
                    </a:xfrm>
                    <a:prstGeom prst="rect">
                      <a:avLst/>
                    </a:prstGeom>
                  </pic:spPr>
                </pic:pic>
              </a:graphicData>
            </a:graphic>
          </wp:inline>
        </w:drawing>
      </w:r>
    </w:p>
    <w:p w14:paraId="73C41F63" w14:textId="1C6A5D22" w:rsidR="00760950" w:rsidRDefault="00760950" w:rsidP="00760950">
      <w:pPr>
        <w:pStyle w:val="rptmainbodytext"/>
        <w:rPr>
          <w:lang w:eastAsia="zh-CN"/>
        </w:rPr>
      </w:pPr>
      <w:r>
        <w:rPr>
          <w:lang w:eastAsia="zh-CN"/>
        </w:rPr>
        <w:t xml:space="preserve">In contrast, </w:t>
      </w:r>
      <w:r>
        <w:rPr>
          <w:lang w:eastAsia="zh-CN"/>
        </w:rPr>
        <w:fldChar w:fldCharType="begin"/>
      </w:r>
      <w:r>
        <w:rPr>
          <w:lang w:eastAsia="zh-CN"/>
        </w:rPr>
        <w:instrText xml:space="preserve"> REF _Ref84322909 \h </w:instrText>
      </w:r>
      <w:r>
        <w:rPr>
          <w:lang w:eastAsia="zh-CN"/>
        </w:rPr>
      </w:r>
      <w:r>
        <w:rPr>
          <w:lang w:eastAsia="zh-CN"/>
        </w:rPr>
        <w:fldChar w:fldCharType="separate"/>
      </w:r>
      <w:r>
        <w:t xml:space="preserve">Figure </w:t>
      </w:r>
      <w:r>
        <w:rPr>
          <w:noProof/>
        </w:rPr>
        <w:t>3</w:t>
      </w:r>
      <w:r>
        <w:rPr>
          <w:lang w:eastAsia="zh-CN"/>
        </w:rPr>
        <w:fldChar w:fldCharType="end"/>
      </w:r>
      <w:r>
        <w:rPr>
          <w:lang w:eastAsia="zh-CN"/>
        </w:rPr>
        <w:t xml:space="preserve"> illustrates the outcomes in a market with substantial out-of-market entry that is insensitive to capacity market conditions (i.e., where out-of-market entry exceeds demand growth for a sustained period of time).</w:t>
      </w:r>
      <w:r w:rsidR="00E550DC">
        <w:rPr>
          <w:lang w:eastAsia="zh-CN"/>
        </w:rPr>
        <w:t xml:space="preserve">  Each year</w:t>
      </w:r>
      <w:r w:rsidR="007B585E">
        <w:rPr>
          <w:lang w:eastAsia="zh-CN"/>
        </w:rPr>
        <w:t xml:space="preserve"> after year 1</w:t>
      </w:r>
      <w:r w:rsidR="00E550DC">
        <w:rPr>
          <w:lang w:eastAsia="zh-CN"/>
        </w:rPr>
        <w:t xml:space="preserve">, it shows </w:t>
      </w:r>
      <w:r w:rsidR="004372AE">
        <w:rPr>
          <w:lang w:eastAsia="zh-CN"/>
        </w:rPr>
        <w:t xml:space="preserve">nearly </w:t>
      </w:r>
      <w:r w:rsidR="00E550DC">
        <w:rPr>
          <w:lang w:eastAsia="zh-CN"/>
        </w:rPr>
        <w:t>1 GW of new supply entering the market as price-taker</w:t>
      </w:r>
      <w:r w:rsidR="00621310">
        <w:rPr>
          <w:lang w:eastAsia="zh-CN"/>
        </w:rPr>
        <w:t>s</w:t>
      </w:r>
      <w:r w:rsidR="007B585E">
        <w:rPr>
          <w:lang w:eastAsia="zh-CN"/>
        </w:rPr>
        <w:t xml:space="preserve"> despite</w:t>
      </w:r>
      <w:r w:rsidR="00A862BD">
        <w:rPr>
          <w:lang w:eastAsia="zh-CN"/>
        </w:rPr>
        <w:t xml:space="preserve"> the steep </w:t>
      </w:r>
      <w:r w:rsidR="00621310">
        <w:rPr>
          <w:lang w:eastAsia="zh-CN"/>
        </w:rPr>
        <w:t xml:space="preserve">year-over-year </w:t>
      </w:r>
      <w:r w:rsidR="00A862BD">
        <w:rPr>
          <w:lang w:eastAsia="zh-CN"/>
        </w:rPr>
        <w:t>decline</w:t>
      </w:r>
      <w:r w:rsidR="00621310">
        <w:rPr>
          <w:lang w:eastAsia="zh-CN"/>
        </w:rPr>
        <w:t>s</w:t>
      </w:r>
      <w:r w:rsidR="00A862BD">
        <w:rPr>
          <w:lang w:eastAsia="zh-CN"/>
        </w:rPr>
        <w:t xml:space="preserve"> in capacity prices</w:t>
      </w:r>
      <w:r w:rsidR="007B585E">
        <w:rPr>
          <w:lang w:eastAsia="zh-CN"/>
        </w:rPr>
        <w:t>.</w:t>
      </w:r>
      <w:r w:rsidR="004372AE">
        <w:rPr>
          <w:lang w:eastAsia="zh-CN"/>
        </w:rPr>
        <w:t xml:space="preserve">  In year 2, the clearing price (“P2”) </w:t>
      </w:r>
      <w:r w:rsidR="00347577">
        <w:rPr>
          <w:lang w:eastAsia="zh-CN"/>
        </w:rPr>
        <w:t xml:space="preserve">is set at the going-forward cost of existing capacity, but prices continue to fall each year as </w:t>
      </w:r>
      <w:r w:rsidR="00BD0EA9">
        <w:rPr>
          <w:lang w:eastAsia="zh-CN"/>
        </w:rPr>
        <w:t xml:space="preserve">higher cost existing resources leave the market.  </w:t>
      </w:r>
      <w:r>
        <w:rPr>
          <w:lang w:eastAsia="zh-CN"/>
        </w:rPr>
        <w:t>This</w:t>
      </w:r>
      <w:r w:rsidR="00F0705E">
        <w:rPr>
          <w:lang w:eastAsia="zh-CN"/>
        </w:rPr>
        <w:t xml:space="preserve"> scenario</w:t>
      </w:r>
      <w:r w:rsidR="007573C2">
        <w:rPr>
          <w:lang w:eastAsia="zh-CN"/>
        </w:rPr>
        <w:t xml:space="preserve"> illustrates how very low prices</w:t>
      </w:r>
      <w:r>
        <w:rPr>
          <w:lang w:eastAsia="zh-CN"/>
        </w:rPr>
        <w:t xml:space="preserve"> can </w:t>
      </w:r>
      <w:r w:rsidR="007573C2">
        <w:rPr>
          <w:lang w:eastAsia="zh-CN"/>
        </w:rPr>
        <w:t xml:space="preserve">occur for a sustained period when the amount of out-of-market </w:t>
      </w:r>
      <w:r w:rsidR="00F0705E">
        <w:rPr>
          <w:lang w:eastAsia="zh-CN"/>
        </w:rPr>
        <w:t>entry exceeds the amount of price-responsive supply in the market</w:t>
      </w:r>
      <w:r w:rsidRPr="000205B2">
        <w:rPr>
          <w:lang w:eastAsia="zh-CN"/>
        </w:rPr>
        <w:t>.</w:t>
      </w:r>
      <w:r>
        <w:rPr>
          <w:lang w:eastAsia="zh-CN"/>
        </w:rPr>
        <w:t xml:space="preserve">  </w:t>
      </w:r>
    </w:p>
    <w:p w14:paraId="57EAE3A7" w14:textId="212A431B" w:rsidR="00BD1086" w:rsidRDefault="00BD1086" w:rsidP="00760950">
      <w:pPr>
        <w:pStyle w:val="rptmainbodytext"/>
      </w:pPr>
      <w:r>
        <w:rPr>
          <w:lang w:eastAsia="zh-CN"/>
        </w:rPr>
        <w:fldChar w:fldCharType="begin"/>
      </w:r>
      <w:r>
        <w:rPr>
          <w:lang w:eastAsia="zh-CN"/>
        </w:rPr>
        <w:instrText xml:space="preserve"> REF _Ref84322912 \h </w:instrText>
      </w:r>
      <w:r>
        <w:rPr>
          <w:lang w:eastAsia="zh-CN"/>
        </w:rPr>
      </w:r>
      <w:r>
        <w:rPr>
          <w:lang w:eastAsia="zh-CN"/>
        </w:rPr>
        <w:fldChar w:fldCharType="separate"/>
      </w:r>
      <w:r>
        <w:t xml:space="preserve">Figure </w:t>
      </w:r>
      <w:r>
        <w:rPr>
          <w:noProof/>
        </w:rPr>
        <w:t>4</w:t>
      </w:r>
      <w:r>
        <w:rPr>
          <w:lang w:eastAsia="zh-CN"/>
        </w:rPr>
        <w:fldChar w:fldCharType="end"/>
      </w:r>
      <w:r>
        <w:rPr>
          <w:lang w:eastAsia="zh-CN"/>
        </w:rPr>
        <w:t xml:space="preserve"> illustrates how the MOPR provisions can reduce this downside risk to </w:t>
      </w:r>
      <w:r w:rsidRPr="00FF7CD5">
        <w:rPr>
          <w:lang w:eastAsia="zh-CN"/>
        </w:rPr>
        <w:t>investors</w:t>
      </w:r>
      <w:r>
        <w:rPr>
          <w:lang w:eastAsia="zh-CN"/>
        </w:rPr>
        <w:t xml:space="preserve"> by incorporating MOPR </w:t>
      </w:r>
      <w:r w:rsidR="009E3339">
        <w:rPr>
          <w:lang w:eastAsia="zh-CN"/>
        </w:rPr>
        <w:t xml:space="preserve">rules (with a Substitution Auction) </w:t>
      </w:r>
      <w:r>
        <w:rPr>
          <w:lang w:eastAsia="zh-CN"/>
        </w:rPr>
        <w:t xml:space="preserve">into the scenario shown in </w:t>
      </w:r>
      <w:r>
        <w:rPr>
          <w:lang w:eastAsia="zh-CN"/>
        </w:rPr>
        <w:fldChar w:fldCharType="begin"/>
      </w:r>
      <w:r>
        <w:rPr>
          <w:lang w:eastAsia="zh-CN"/>
        </w:rPr>
        <w:instrText xml:space="preserve"> REF _Ref84322909 \h </w:instrText>
      </w:r>
      <w:r>
        <w:rPr>
          <w:lang w:eastAsia="zh-CN"/>
        </w:rPr>
      </w:r>
      <w:r>
        <w:rPr>
          <w:lang w:eastAsia="zh-CN"/>
        </w:rPr>
        <w:fldChar w:fldCharType="separate"/>
      </w:r>
      <w:r>
        <w:t xml:space="preserve">Figure </w:t>
      </w:r>
      <w:r>
        <w:rPr>
          <w:noProof/>
        </w:rPr>
        <w:t>3</w:t>
      </w:r>
      <w:r>
        <w:rPr>
          <w:lang w:eastAsia="zh-CN"/>
        </w:rPr>
        <w:fldChar w:fldCharType="end"/>
      </w:r>
      <w:r>
        <w:rPr>
          <w:lang w:eastAsia="zh-CN"/>
        </w:rPr>
        <w:t>.</w:t>
      </w:r>
      <w:r w:rsidRPr="00FF7CD5">
        <w:rPr>
          <w:lang w:eastAsia="zh-CN"/>
        </w:rPr>
        <w:t xml:space="preserve"> </w:t>
      </w:r>
      <w:r>
        <w:rPr>
          <w:lang w:eastAsia="zh-CN"/>
        </w:rPr>
        <w:t xml:space="preserve"> </w:t>
      </w:r>
      <w:r w:rsidR="00D53903">
        <w:rPr>
          <w:lang w:eastAsia="zh-CN"/>
        </w:rPr>
        <w:t xml:space="preserve">In each year, the clearing price is set by unsubsidized </w:t>
      </w:r>
      <w:r w:rsidR="0057358C">
        <w:rPr>
          <w:lang w:eastAsia="zh-CN"/>
        </w:rPr>
        <w:t xml:space="preserve">resources clearing, while the substitution auction allows new subsidized resources to enter the market as long as </w:t>
      </w:r>
      <w:r w:rsidR="007E1C32">
        <w:rPr>
          <w:lang w:eastAsia="zh-CN"/>
        </w:rPr>
        <w:t>their capacity</w:t>
      </w:r>
      <w:r w:rsidR="0057358C">
        <w:rPr>
          <w:lang w:eastAsia="zh-CN"/>
        </w:rPr>
        <w:t xml:space="preserve"> is matched by an equal amount of retirement</w:t>
      </w:r>
      <w:r w:rsidRPr="00FF7CD5">
        <w:rPr>
          <w:lang w:eastAsia="zh-CN"/>
        </w:rPr>
        <w:t xml:space="preserve">, causing prices to remain </w:t>
      </w:r>
      <w:r w:rsidR="0057358C">
        <w:rPr>
          <w:lang w:eastAsia="zh-CN"/>
        </w:rPr>
        <w:t xml:space="preserve">much </w:t>
      </w:r>
      <w:r w:rsidRPr="00FF7CD5">
        <w:rPr>
          <w:lang w:eastAsia="zh-CN"/>
        </w:rPr>
        <w:t>closer to competitive levels.</w:t>
      </w:r>
    </w:p>
    <w:p w14:paraId="7F54FAD0" w14:textId="61B111AB" w:rsidR="00553F9F" w:rsidRDefault="00553F9F" w:rsidP="00553F9F">
      <w:pPr>
        <w:pStyle w:val="rptmainbodyfiguretitle1"/>
        <w:rPr>
          <w:lang w:eastAsia="zh-CN"/>
        </w:rPr>
      </w:pPr>
      <w:bookmarkStart w:id="888" w:name="_Ref84322909"/>
      <w:bookmarkStart w:id="889" w:name="_Toc86727532"/>
      <w:r>
        <w:lastRenderedPageBreak/>
        <w:t xml:space="preserve">Figure </w:t>
      </w:r>
      <w:r w:rsidRPr="003A7048">
        <w:fldChar w:fldCharType="begin"/>
      </w:r>
      <w:r>
        <w:instrText xml:space="preserve"> SEQ Figure \* ARABIC </w:instrText>
      </w:r>
      <w:r w:rsidRPr="003A7048">
        <w:fldChar w:fldCharType="separate"/>
      </w:r>
      <w:r w:rsidR="00401666">
        <w:rPr>
          <w:noProof/>
        </w:rPr>
        <w:t>3</w:t>
      </w:r>
      <w:r w:rsidRPr="003A7048">
        <w:fldChar w:fldCharType="end"/>
      </w:r>
      <w:bookmarkEnd w:id="888"/>
      <w:r>
        <w:t xml:space="preserve">: </w:t>
      </w:r>
      <w:r>
        <w:rPr>
          <w:lang w:eastAsia="zh-CN"/>
        </w:rPr>
        <w:t xml:space="preserve">Capacity Prices in a Market with Policy Intervention </w:t>
      </w:r>
      <w:r w:rsidR="005A0527">
        <w:rPr>
          <w:lang w:eastAsia="zh-CN"/>
        </w:rPr>
        <w:t>B</w:t>
      </w:r>
      <w:bookmarkEnd w:id="889"/>
    </w:p>
    <w:p w14:paraId="7A26FD2A" w14:textId="3674B3AD" w:rsidR="00553F9F" w:rsidRPr="008F02F1" w:rsidRDefault="00553F9F" w:rsidP="00553F9F">
      <w:pPr>
        <w:pStyle w:val="rptmainbodyfiguretitle2"/>
        <w:rPr>
          <w:rFonts w:eastAsiaTheme="minorHAnsi"/>
        </w:rPr>
      </w:pPr>
      <w:r>
        <w:rPr>
          <w:lang w:eastAsia="zh-CN"/>
        </w:rPr>
        <w:t>High Out-of-Market Investment in Supply</w:t>
      </w:r>
    </w:p>
    <w:p w14:paraId="417546D1" w14:textId="2E9EC0BF" w:rsidR="00E05B72" w:rsidRDefault="00330C7C" w:rsidP="00330C7C">
      <w:pPr>
        <w:pStyle w:val="rptmainbodyfigure"/>
        <w:rPr>
          <w:lang w:eastAsia="zh-CN"/>
        </w:rPr>
      </w:pPr>
      <w:r w:rsidRPr="00330C7C">
        <w:drawing>
          <wp:inline distT="0" distB="0" distL="0" distR="0" wp14:anchorId="685708C7" wp14:editId="10A6BEFB">
            <wp:extent cx="5220450" cy="3566160"/>
            <wp:effectExtent l="0" t="0" r="0" b="0"/>
            <wp:docPr id="1" name="Picture 5">
              <a:extLst xmlns:a="http://schemas.openxmlformats.org/drawingml/2006/main">
                <a:ext uri="{FF2B5EF4-FFF2-40B4-BE49-F238E27FC236}">
                  <a16:creationId xmlns:a16="http://schemas.microsoft.com/office/drawing/2014/main" id="{4A6BA1B9-4BDB-43FB-8957-8633EDA138A5}"/>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Picture 5">
                      <a:extLst>
                        <a:ext uri="{FF2B5EF4-FFF2-40B4-BE49-F238E27FC236}">
                          <a16:creationId xmlns:a16="http://schemas.microsoft.com/office/drawing/2014/main" id="{4A6BA1B9-4BDB-43FB-8957-8633EDA138A5}"/>
                        </a:ext>
                      </a:extLst>
                    </pic:cNvPr>
                    <pic:cNvPicPr>
                      <a:picLocks noChangeAspect="1"/>
                    </pic:cNvPicPr>
                  </pic:nvPicPr>
                  <pic:blipFill rotWithShape="1">
                    <a:blip r:embed="rId26"/>
                    <a:srcRect b="5865"/>
                    <a:stretch/>
                  </pic:blipFill>
                  <pic:spPr>
                    <a:xfrm>
                      <a:off x="0" y="0"/>
                      <a:ext cx="5220450" cy="3566160"/>
                    </a:xfrm>
                    <a:prstGeom prst="rect">
                      <a:avLst/>
                    </a:prstGeom>
                  </pic:spPr>
                </pic:pic>
              </a:graphicData>
            </a:graphic>
          </wp:inline>
        </w:drawing>
      </w:r>
    </w:p>
    <w:p w14:paraId="6FC123E0" w14:textId="76B67414" w:rsidR="005F3144" w:rsidRDefault="005F3144" w:rsidP="005F3144">
      <w:pPr>
        <w:pStyle w:val="rptmainbodyfiguretitle1"/>
        <w:rPr>
          <w:lang w:eastAsia="zh-CN"/>
        </w:rPr>
      </w:pPr>
      <w:bookmarkStart w:id="890" w:name="_Ref84322912"/>
      <w:bookmarkStart w:id="891" w:name="_Toc86727533"/>
      <w:r>
        <w:t xml:space="preserve">Figure </w:t>
      </w:r>
      <w:r w:rsidRPr="003A7048">
        <w:fldChar w:fldCharType="begin"/>
      </w:r>
      <w:r>
        <w:instrText xml:space="preserve"> SEQ Figure \* ARABIC </w:instrText>
      </w:r>
      <w:r w:rsidRPr="003A7048">
        <w:fldChar w:fldCharType="separate"/>
      </w:r>
      <w:r w:rsidR="00401666">
        <w:rPr>
          <w:noProof/>
        </w:rPr>
        <w:t>4</w:t>
      </w:r>
      <w:r w:rsidRPr="003A7048">
        <w:fldChar w:fldCharType="end"/>
      </w:r>
      <w:bookmarkEnd w:id="890"/>
      <w:r>
        <w:t xml:space="preserve">: </w:t>
      </w:r>
      <w:r>
        <w:rPr>
          <w:lang w:eastAsia="zh-CN"/>
        </w:rPr>
        <w:t>Capacity Prices in a Market with Policy Intervention B</w:t>
      </w:r>
      <w:r w:rsidR="00E44A76">
        <w:rPr>
          <w:lang w:eastAsia="zh-CN"/>
        </w:rPr>
        <w:t xml:space="preserve"> and MOPR</w:t>
      </w:r>
      <w:bookmarkEnd w:id="891"/>
    </w:p>
    <w:p w14:paraId="5F8A28CE" w14:textId="00B13621" w:rsidR="005F3144" w:rsidRPr="008F02F1" w:rsidRDefault="005F3144" w:rsidP="005F3144">
      <w:pPr>
        <w:pStyle w:val="rptmainbodyfiguretitle2"/>
        <w:rPr>
          <w:rFonts w:eastAsiaTheme="minorHAnsi"/>
        </w:rPr>
      </w:pPr>
      <w:r>
        <w:rPr>
          <w:lang w:eastAsia="zh-CN"/>
        </w:rPr>
        <w:t>High Out-of-Market Investment in Supply</w:t>
      </w:r>
      <w:r w:rsidR="008C552D">
        <w:rPr>
          <w:lang w:eastAsia="zh-CN"/>
        </w:rPr>
        <w:t xml:space="preserve"> with a MOPR</w:t>
      </w:r>
    </w:p>
    <w:p w14:paraId="1B551FC1" w14:textId="6DC8C0D8" w:rsidR="00D81500" w:rsidRDefault="00D1229B" w:rsidP="00D81500">
      <w:pPr>
        <w:pStyle w:val="rptmainbodyfigure"/>
        <w:rPr>
          <w:lang w:eastAsia="zh-CN"/>
        </w:rPr>
      </w:pPr>
      <w:r w:rsidRPr="00D1229B">
        <w:drawing>
          <wp:inline distT="0" distB="0" distL="0" distR="0" wp14:anchorId="51308F60" wp14:editId="1C0CDD8F">
            <wp:extent cx="5196833" cy="3566160"/>
            <wp:effectExtent l="0" t="0" r="4445" b="0"/>
            <wp:docPr id="31" name="Picture 5">
              <a:extLst xmlns:a="http://schemas.openxmlformats.org/drawingml/2006/main">
                <a:ext uri="{FF2B5EF4-FFF2-40B4-BE49-F238E27FC236}">
                  <a16:creationId xmlns:a16="http://schemas.microsoft.com/office/drawing/2014/main" id="{DADB7AF1-0DD5-4342-87BD-870CA197091A}"/>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Picture 5">
                      <a:extLst>
                        <a:ext uri="{FF2B5EF4-FFF2-40B4-BE49-F238E27FC236}">
                          <a16:creationId xmlns:a16="http://schemas.microsoft.com/office/drawing/2014/main" id="{DADB7AF1-0DD5-4342-87BD-870CA197091A}"/>
                        </a:ext>
                      </a:extLst>
                    </pic:cNvPr>
                    <pic:cNvPicPr>
                      <a:picLocks noChangeAspect="1"/>
                    </pic:cNvPicPr>
                  </pic:nvPicPr>
                  <pic:blipFill rotWithShape="1">
                    <a:blip r:embed="rId27"/>
                    <a:srcRect b="5432"/>
                    <a:stretch/>
                  </pic:blipFill>
                  <pic:spPr>
                    <a:xfrm>
                      <a:off x="0" y="0"/>
                      <a:ext cx="5196833" cy="3566160"/>
                    </a:xfrm>
                    <a:prstGeom prst="rect">
                      <a:avLst/>
                    </a:prstGeom>
                  </pic:spPr>
                </pic:pic>
              </a:graphicData>
            </a:graphic>
          </wp:inline>
        </w:drawing>
      </w:r>
      <w:r w:rsidRPr="00D1229B" w:rsidDel="005F3144">
        <w:rPr>
          <w:lang w:eastAsia="zh-CN"/>
        </w:rPr>
        <w:t xml:space="preserve"> </w:t>
      </w:r>
    </w:p>
    <w:p w14:paraId="16D4EEED" w14:textId="53E2C172" w:rsidR="00DD7631" w:rsidRDefault="00DD7631" w:rsidP="009B2B54">
      <w:pPr>
        <w:pStyle w:val="rptmainbodyheading3"/>
        <w:rPr>
          <w:lang w:eastAsia="zh-CN"/>
        </w:rPr>
      </w:pPr>
      <w:r>
        <w:rPr>
          <w:lang w:eastAsia="zh-CN"/>
        </w:rPr>
        <w:lastRenderedPageBreak/>
        <w:t>Potential Out-of-Market Entry in New England</w:t>
      </w:r>
    </w:p>
    <w:p w14:paraId="55764400" w14:textId="5E62C3C4" w:rsidR="0010371C" w:rsidRDefault="004552A6" w:rsidP="00B636C5">
      <w:pPr>
        <w:pStyle w:val="rptmainbodytext"/>
        <w:rPr>
          <w:lang w:eastAsia="zh-CN"/>
        </w:rPr>
      </w:pPr>
      <w:r>
        <w:rPr>
          <w:lang w:eastAsia="zh-CN"/>
        </w:rPr>
        <w:t xml:space="preserve">The New England states have set aggressive </w:t>
      </w:r>
      <w:r w:rsidR="00893EC0">
        <w:rPr>
          <w:lang w:eastAsia="zh-CN"/>
        </w:rPr>
        <w:t xml:space="preserve">procurement </w:t>
      </w:r>
      <w:r>
        <w:rPr>
          <w:lang w:eastAsia="zh-CN"/>
        </w:rPr>
        <w:t xml:space="preserve">targets </w:t>
      </w:r>
      <w:r w:rsidR="00AA2150">
        <w:rPr>
          <w:lang w:eastAsia="zh-CN"/>
        </w:rPr>
        <w:t>in</w:t>
      </w:r>
      <w:r w:rsidR="003D5726">
        <w:rPr>
          <w:lang w:eastAsia="zh-CN"/>
        </w:rPr>
        <w:t xml:space="preserve"> </w:t>
      </w:r>
      <w:r w:rsidR="006B7167">
        <w:rPr>
          <w:lang w:eastAsia="zh-CN"/>
        </w:rPr>
        <w:t xml:space="preserve">legislation and/or </w:t>
      </w:r>
      <w:r w:rsidR="000A0DA7">
        <w:rPr>
          <w:lang w:eastAsia="zh-CN"/>
        </w:rPr>
        <w:t xml:space="preserve">regulations </w:t>
      </w:r>
      <w:r w:rsidR="005E052A">
        <w:rPr>
          <w:lang w:eastAsia="zh-CN"/>
        </w:rPr>
        <w:t xml:space="preserve">for </w:t>
      </w:r>
      <w:r w:rsidR="00AA2150">
        <w:rPr>
          <w:lang w:eastAsia="zh-CN"/>
        </w:rPr>
        <w:t>several different</w:t>
      </w:r>
      <w:r w:rsidR="005E052A">
        <w:rPr>
          <w:lang w:eastAsia="zh-CN"/>
        </w:rPr>
        <w:t xml:space="preserve"> </w:t>
      </w:r>
      <w:r w:rsidR="00DB5599">
        <w:rPr>
          <w:lang w:eastAsia="zh-CN"/>
        </w:rPr>
        <w:t xml:space="preserve">clean </w:t>
      </w:r>
      <w:r w:rsidR="005E052A">
        <w:rPr>
          <w:lang w:eastAsia="zh-CN"/>
        </w:rPr>
        <w:t>resource</w:t>
      </w:r>
      <w:r w:rsidR="008070B3">
        <w:rPr>
          <w:lang w:eastAsia="zh-CN"/>
        </w:rPr>
        <w:t xml:space="preserve"> categorie</w:t>
      </w:r>
      <w:r w:rsidR="005E052A">
        <w:rPr>
          <w:lang w:eastAsia="zh-CN"/>
        </w:rPr>
        <w:t xml:space="preserve">s.  </w:t>
      </w:r>
      <w:r w:rsidR="00D15875">
        <w:rPr>
          <w:lang w:eastAsia="zh-CN"/>
        </w:rPr>
        <w:t>In recent years, t</w:t>
      </w:r>
      <w:r w:rsidR="005E052A">
        <w:rPr>
          <w:lang w:eastAsia="zh-CN"/>
        </w:rPr>
        <w:t xml:space="preserve">hese </w:t>
      </w:r>
      <w:r w:rsidR="00A83598">
        <w:rPr>
          <w:lang w:eastAsia="zh-CN"/>
        </w:rPr>
        <w:t xml:space="preserve">procurement </w:t>
      </w:r>
      <w:r w:rsidR="005E052A">
        <w:rPr>
          <w:lang w:eastAsia="zh-CN"/>
        </w:rPr>
        <w:t>targets</w:t>
      </w:r>
      <w:r w:rsidR="00893EC0">
        <w:rPr>
          <w:lang w:eastAsia="zh-CN"/>
        </w:rPr>
        <w:t xml:space="preserve"> have </w:t>
      </w:r>
      <w:r w:rsidR="007E0D49">
        <w:rPr>
          <w:lang w:eastAsia="zh-CN"/>
        </w:rPr>
        <w:t xml:space="preserve">significantly </w:t>
      </w:r>
      <w:r w:rsidR="00AC0758">
        <w:rPr>
          <w:lang w:eastAsia="zh-CN"/>
        </w:rPr>
        <w:t>evolved</w:t>
      </w:r>
      <w:r w:rsidR="00032AB5">
        <w:rPr>
          <w:lang w:eastAsia="zh-CN"/>
        </w:rPr>
        <w:t xml:space="preserve"> in their sc</w:t>
      </w:r>
      <w:r w:rsidR="00A04DA4">
        <w:rPr>
          <w:lang w:eastAsia="zh-CN"/>
        </w:rPr>
        <w:t>ale</w:t>
      </w:r>
      <w:r w:rsidR="00CD33CC">
        <w:rPr>
          <w:lang w:eastAsia="zh-CN"/>
        </w:rPr>
        <w:t>,</w:t>
      </w:r>
      <w:r w:rsidR="00FF6B9A">
        <w:rPr>
          <w:lang w:eastAsia="zh-CN"/>
        </w:rPr>
        <w:t xml:space="preserve"> the </w:t>
      </w:r>
      <w:r w:rsidR="00CD33CC">
        <w:rPr>
          <w:lang w:eastAsia="zh-CN"/>
        </w:rPr>
        <w:t>timing</w:t>
      </w:r>
      <w:r w:rsidR="00A04DA4">
        <w:rPr>
          <w:lang w:eastAsia="zh-CN"/>
        </w:rPr>
        <w:t xml:space="preserve"> of imp</w:t>
      </w:r>
      <w:r w:rsidR="00FF6B9A">
        <w:rPr>
          <w:lang w:eastAsia="zh-CN"/>
        </w:rPr>
        <w:t>lementation</w:t>
      </w:r>
      <w:r w:rsidR="00E30A92">
        <w:rPr>
          <w:lang w:eastAsia="zh-CN"/>
        </w:rPr>
        <w:t>, and the</w:t>
      </w:r>
      <w:r w:rsidR="00FF6B9A">
        <w:rPr>
          <w:lang w:eastAsia="zh-CN"/>
        </w:rPr>
        <w:t xml:space="preserve"> specific</w:t>
      </w:r>
      <w:r w:rsidR="007D220F">
        <w:rPr>
          <w:lang w:eastAsia="zh-CN"/>
        </w:rPr>
        <w:t xml:space="preserve"> technologies that are</w:t>
      </w:r>
      <w:r w:rsidR="00032AB5">
        <w:rPr>
          <w:lang w:eastAsia="zh-CN"/>
        </w:rPr>
        <w:t xml:space="preserve"> </w:t>
      </w:r>
      <w:r w:rsidR="00CD33CC">
        <w:rPr>
          <w:lang w:eastAsia="zh-CN"/>
        </w:rPr>
        <w:t>targeted.</w:t>
      </w:r>
      <w:r w:rsidR="00C8489B">
        <w:rPr>
          <w:lang w:eastAsia="zh-CN"/>
        </w:rPr>
        <w:t xml:space="preserve">  </w:t>
      </w:r>
      <w:r w:rsidR="00720032">
        <w:rPr>
          <w:lang w:eastAsia="zh-CN"/>
        </w:rPr>
        <w:t xml:space="preserve">As merchant investors consider </w:t>
      </w:r>
      <w:r w:rsidR="00665245">
        <w:rPr>
          <w:lang w:eastAsia="zh-CN"/>
        </w:rPr>
        <w:t xml:space="preserve">whether to </w:t>
      </w:r>
      <w:r w:rsidR="00720032">
        <w:rPr>
          <w:lang w:eastAsia="zh-CN"/>
        </w:rPr>
        <w:t>bu</w:t>
      </w:r>
      <w:r w:rsidR="00F31CEA">
        <w:rPr>
          <w:lang w:eastAsia="zh-CN"/>
        </w:rPr>
        <w:t>ild new generation assets with a useful life extending past 2040, they</w:t>
      </w:r>
      <w:r w:rsidR="00BD3404">
        <w:rPr>
          <w:lang w:eastAsia="zh-CN"/>
        </w:rPr>
        <w:t xml:space="preserve"> must consider current targets and the likelihood that these will be modified over the </w:t>
      </w:r>
      <w:r w:rsidR="003C3CD6">
        <w:rPr>
          <w:lang w:eastAsia="zh-CN"/>
        </w:rPr>
        <w:t xml:space="preserve">time </w:t>
      </w:r>
      <w:r w:rsidR="00BD3404">
        <w:rPr>
          <w:lang w:eastAsia="zh-CN"/>
        </w:rPr>
        <w:t>horizon</w:t>
      </w:r>
      <w:r w:rsidR="003C3CD6">
        <w:rPr>
          <w:lang w:eastAsia="zh-CN"/>
        </w:rPr>
        <w:t xml:space="preserve"> of the investment</w:t>
      </w:r>
      <w:r w:rsidR="00BD3404">
        <w:rPr>
          <w:lang w:eastAsia="zh-CN"/>
        </w:rPr>
        <w:t>.</w:t>
      </w:r>
    </w:p>
    <w:p w14:paraId="05C2C676" w14:textId="10372D98" w:rsidR="000D3BB3" w:rsidRDefault="00CD33CC" w:rsidP="00B636C5">
      <w:pPr>
        <w:pStyle w:val="rptmainbodytext"/>
        <w:rPr>
          <w:lang w:eastAsia="zh-CN"/>
        </w:rPr>
      </w:pPr>
      <w:r>
        <w:rPr>
          <w:lang w:eastAsia="zh-CN"/>
        </w:rPr>
        <w:t xml:space="preserve">The following table shows </w:t>
      </w:r>
      <w:r w:rsidR="00BB2D08">
        <w:rPr>
          <w:lang w:eastAsia="zh-CN"/>
        </w:rPr>
        <w:t xml:space="preserve">the </w:t>
      </w:r>
      <w:r w:rsidR="00390361">
        <w:rPr>
          <w:lang w:eastAsia="zh-CN"/>
        </w:rPr>
        <w:t>states’</w:t>
      </w:r>
      <w:r w:rsidR="00F378B6">
        <w:rPr>
          <w:lang w:eastAsia="zh-CN"/>
        </w:rPr>
        <w:t xml:space="preserve"> current</w:t>
      </w:r>
      <w:r w:rsidR="00390361">
        <w:rPr>
          <w:lang w:eastAsia="zh-CN"/>
        </w:rPr>
        <w:t xml:space="preserve"> </w:t>
      </w:r>
      <w:r w:rsidR="00BB2D08">
        <w:rPr>
          <w:lang w:eastAsia="zh-CN"/>
        </w:rPr>
        <w:t xml:space="preserve">procurement targets </w:t>
      </w:r>
      <w:r w:rsidR="00C314FC">
        <w:rPr>
          <w:lang w:eastAsia="zh-CN"/>
        </w:rPr>
        <w:t xml:space="preserve">for </w:t>
      </w:r>
      <w:r w:rsidR="00E86F4D">
        <w:rPr>
          <w:lang w:eastAsia="zh-CN"/>
        </w:rPr>
        <w:t>key</w:t>
      </w:r>
      <w:r w:rsidR="00C314FC">
        <w:rPr>
          <w:lang w:eastAsia="zh-CN"/>
        </w:rPr>
        <w:t xml:space="preserve"> technolog</w:t>
      </w:r>
      <w:r w:rsidR="00D0509F">
        <w:rPr>
          <w:lang w:eastAsia="zh-CN"/>
        </w:rPr>
        <w:t xml:space="preserve">ies that could have a considerable effect on the supply-demand </w:t>
      </w:r>
      <w:r w:rsidR="00D3758E">
        <w:rPr>
          <w:lang w:eastAsia="zh-CN"/>
        </w:rPr>
        <w:t>b</w:t>
      </w:r>
      <w:r w:rsidR="00D0509F">
        <w:rPr>
          <w:lang w:eastAsia="zh-CN"/>
        </w:rPr>
        <w:t xml:space="preserve">alance in the capacity market.  </w:t>
      </w:r>
      <w:r w:rsidR="004D2C67">
        <w:rPr>
          <w:lang w:eastAsia="zh-CN"/>
        </w:rPr>
        <w:t xml:space="preserve">The table also shows how these targets have </w:t>
      </w:r>
      <w:r w:rsidR="000F6591">
        <w:rPr>
          <w:lang w:eastAsia="zh-CN"/>
        </w:rPr>
        <w:t xml:space="preserve">changed </w:t>
      </w:r>
      <w:r w:rsidR="004D2C67">
        <w:rPr>
          <w:lang w:eastAsia="zh-CN"/>
        </w:rPr>
        <w:t>over time</w:t>
      </w:r>
      <w:r w:rsidR="00A36978">
        <w:rPr>
          <w:lang w:eastAsia="zh-CN"/>
        </w:rPr>
        <w:t xml:space="preserve"> and/or the </w:t>
      </w:r>
      <w:r w:rsidR="002C4287">
        <w:rPr>
          <w:lang w:eastAsia="zh-CN"/>
        </w:rPr>
        <w:t>progress towards the targets</w:t>
      </w:r>
      <w:r w:rsidR="004D2C67">
        <w:rPr>
          <w:lang w:eastAsia="zh-CN"/>
        </w:rPr>
        <w:t>.</w:t>
      </w:r>
    </w:p>
    <w:p w14:paraId="790E5E36" w14:textId="0B256F2A" w:rsidR="006C0FD0" w:rsidRDefault="006C0FD0" w:rsidP="00D212EA">
      <w:pPr>
        <w:pStyle w:val="rptmainbodyfiguretitle1"/>
        <w:spacing w:after="120"/>
      </w:pPr>
      <w:bookmarkStart w:id="892" w:name="_Ref86064906"/>
      <w:bookmarkStart w:id="893" w:name="_Toc86727547"/>
      <w:r>
        <w:t xml:space="preserve">Table </w:t>
      </w:r>
      <w:r>
        <w:fldChar w:fldCharType="begin"/>
      </w:r>
      <w:r>
        <w:instrText>SEQ Table \* ARABIC</w:instrText>
      </w:r>
      <w:r>
        <w:fldChar w:fldCharType="separate"/>
      </w:r>
      <w:r w:rsidR="009E5545">
        <w:rPr>
          <w:noProof/>
        </w:rPr>
        <w:t>1</w:t>
      </w:r>
      <w:r>
        <w:fldChar w:fldCharType="end"/>
      </w:r>
      <w:bookmarkEnd w:id="892"/>
      <w:r>
        <w:t xml:space="preserve">: </w:t>
      </w:r>
      <w:r w:rsidR="00FB793F">
        <w:t>State Procurement Targets for Key Technologies</w:t>
      </w:r>
      <w:bookmarkEnd w:id="893"/>
    </w:p>
    <w:p w14:paraId="093C7FEE" w14:textId="71F37A10" w:rsidR="00781543" w:rsidRDefault="0061012D" w:rsidP="00E77A96">
      <w:pPr>
        <w:pStyle w:val="rptmainbodyfigure"/>
        <w:rPr>
          <w:lang w:eastAsia="zh-CN"/>
        </w:rPr>
      </w:pPr>
      <w:r w:rsidRPr="0061012D">
        <w:drawing>
          <wp:inline distT="0" distB="0" distL="0" distR="0" wp14:anchorId="76674B00" wp14:editId="613E5A6C">
            <wp:extent cx="5148943" cy="3945595"/>
            <wp:effectExtent l="0" t="0" r="0" b="0"/>
            <wp:docPr id="450" name="Picture 4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8">
                      <a:extLst>
                        <a:ext uri="{28A0092B-C50C-407E-A947-70E740481C1C}">
                          <a14:useLocalDpi xmlns:a14="http://schemas.microsoft.com/office/drawing/2010/main" val="0"/>
                        </a:ext>
                      </a:extLst>
                    </a:blip>
                    <a:srcRect/>
                    <a:stretch>
                      <a:fillRect/>
                    </a:stretch>
                  </pic:blipFill>
                  <pic:spPr bwMode="auto">
                    <a:xfrm>
                      <a:off x="0" y="0"/>
                      <a:ext cx="5171465" cy="3962853"/>
                    </a:xfrm>
                    <a:prstGeom prst="rect">
                      <a:avLst/>
                    </a:prstGeom>
                    <a:noFill/>
                    <a:ln>
                      <a:noFill/>
                    </a:ln>
                  </pic:spPr>
                </pic:pic>
              </a:graphicData>
            </a:graphic>
          </wp:inline>
        </w:drawing>
      </w:r>
      <w:r w:rsidRPr="0061012D" w:rsidDel="0061012D">
        <w:t xml:space="preserve"> </w:t>
      </w:r>
    </w:p>
    <w:p w14:paraId="5642E9F4" w14:textId="41496286" w:rsidR="006636D0" w:rsidRDefault="00E46C1A" w:rsidP="00BE43BF">
      <w:pPr>
        <w:pStyle w:val="rptmainbodytext"/>
        <w:rPr>
          <w:lang w:eastAsia="zh-CN"/>
        </w:rPr>
      </w:pPr>
      <w:r>
        <w:rPr>
          <w:lang w:eastAsia="zh-CN"/>
        </w:rPr>
        <w:t>T</w:t>
      </w:r>
      <w:r w:rsidR="002D0FC1">
        <w:rPr>
          <w:lang w:eastAsia="zh-CN"/>
        </w:rPr>
        <w:t xml:space="preserve">he quantity of </w:t>
      </w:r>
      <w:r w:rsidR="00E54D0A">
        <w:rPr>
          <w:lang w:eastAsia="zh-CN"/>
        </w:rPr>
        <w:t xml:space="preserve">sponsored policy resources is significant, </w:t>
      </w:r>
      <w:r w:rsidR="00841037">
        <w:rPr>
          <w:lang w:eastAsia="zh-CN"/>
        </w:rPr>
        <w:t xml:space="preserve">so </w:t>
      </w:r>
      <w:r w:rsidR="00953427">
        <w:rPr>
          <w:lang w:eastAsia="zh-CN"/>
        </w:rPr>
        <w:t>these</w:t>
      </w:r>
      <w:r w:rsidR="00841037">
        <w:rPr>
          <w:lang w:eastAsia="zh-CN"/>
        </w:rPr>
        <w:t xml:space="preserve"> procurements </w:t>
      </w:r>
      <w:r w:rsidR="00E54D0A">
        <w:rPr>
          <w:lang w:eastAsia="zh-CN"/>
        </w:rPr>
        <w:t>c</w:t>
      </w:r>
      <w:r w:rsidR="00953427">
        <w:rPr>
          <w:lang w:eastAsia="zh-CN"/>
        </w:rPr>
        <w:t>ould</w:t>
      </w:r>
      <w:r w:rsidR="00E54D0A">
        <w:rPr>
          <w:lang w:eastAsia="zh-CN"/>
        </w:rPr>
        <w:t xml:space="preserve"> have a large impact on the </w:t>
      </w:r>
      <w:r w:rsidR="00D60A17">
        <w:rPr>
          <w:lang w:eastAsia="zh-CN"/>
        </w:rPr>
        <w:t>supply-demand balance</w:t>
      </w:r>
      <w:r w:rsidR="00C60CA7">
        <w:rPr>
          <w:lang w:eastAsia="zh-CN"/>
        </w:rPr>
        <w:t xml:space="preserve"> in future</w:t>
      </w:r>
      <w:r w:rsidR="00730AD0">
        <w:rPr>
          <w:lang w:eastAsia="zh-CN"/>
        </w:rPr>
        <w:t xml:space="preserve"> years</w:t>
      </w:r>
      <w:r w:rsidR="00D60A17">
        <w:rPr>
          <w:lang w:eastAsia="zh-CN"/>
        </w:rPr>
        <w:t>.  However, the targeted quantit</w:t>
      </w:r>
      <w:r w:rsidR="00F4492C">
        <w:rPr>
          <w:lang w:eastAsia="zh-CN"/>
        </w:rPr>
        <w:t>ies</w:t>
      </w:r>
      <w:r w:rsidR="00D60A17">
        <w:rPr>
          <w:lang w:eastAsia="zh-CN"/>
        </w:rPr>
        <w:t xml:space="preserve"> </w:t>
      </w:r>
      <w:r w:rsidR="00C134DE">
        <w:rPr>
          <w:lang w:eastAsia="zh-CN"/>
        </w:rPr>
        <w:t>and the date</w:t>
      </w:r>
      <w:r w:rsidR="00F4492C">
        <w:rPr>
          <w:lang w:eastAsia="zh-CN"/>
        </w:rPr>
        <w:t>s</w:t>
      </w:r>
      <w:r w:rsidR="00C134DE">
        <w:rPr>
          <w:lang w:eastAsia="zh-CN"/>
        </w:rPr>
        <w:t xml:space="preserve"> </w:t>
      </w:r>
      <w:r w:rsidR="00E806D7">
        <w:rPr>
          <w:lang w:eastAsia="zh-CN"/>
        </w:rPr>
        <w:t>when</w:t>
      </w:r>
      <w:r w:rsidR="00F4492C">
        <w:rPr>
          <w:lang w:eastAsia="zh-CN"/>
        </w:rPr>
        <w:t xml:space="preserve"> resources</w:t>
      </w:r>
      <w:r w:rsidR="00E806D7">
        <w:rPr>
          <w:lang w:eastAsia="zh-CN"/>
        </w:rPr>
        <w:t xml:space="preserve"> must be procured or </w:t>
      </w:r>
      <w:r w:rsidR="009D56E1">
        <w:rPr>
          <w:lang w:eastAsia="zh-CN"/>
        </w:rPr>
        <w:t>must begin operating</w:t>
      </w:r>
      <w:r w:rsidR="00F4492C">
        <w:rPr>
          <w:lang w:eastAsia="zh-CN"/>
        </w:rPr>
        <w:t xml:space="preserve"> </w:t>
      </w:r>
      <w:r w:rsidR="00D60A17">
        <w:rPr>
          <w:lang w:eastAsia="zh-CN"/>
        </w:rPr>
        <w:t>ha</w:t>
      </w:r>
      <w:r w:rsidR="00F4492C">
        <w:rPr>
          <w:lang w:eastAsia="zh-CN"/>
        </w:rPr>
        <w:t>ve</w:t>
      </w:r>
      <w:r w:rsidR="00D60A17">
        <w:rPr>
          <w:lang w:eastAsia="zh-CN"/>
        </w:rPr>
        <w:t xml:space="preserve"> </w:t>
      </w:r>
      <w:r w:rsidR="00C134DE">
        <w:rPr>
          <w:lang w:eastAsia="zh-CN"/>
        </w:rPr>
        <w:t xml:space="preserve">changed </w:t>
      </w:r>
      <w:r w:rsidR="00E806D7">
        <w:rPr>
          <w:lang w:eastAsia="zh-CN"/>
        </w:rPr>
        <w:t xml:space="preserve">dramatically </w:t>
      </w:r>
      <w:r w:rsidR="00C134DE">
        <w:rPr>
          <w:lang w:eastAsia="zh-CN"/>
        </w:rPr>
        <w:t xml:space="preserve">over time, </w:t>
      </w:r>
      <w:r w:rsidR="00547F05">
        <w:rPr>
          <w:lang w:eastAsia="zh-CN"/>
        </w:rPr>
        <w:t>making them</w:t>
      </w:r>
      <w:r w:rsidR="00C134DE">
        <w:rPr>
          <w:lang w:eastAsia="zh-CN"/>
        </w:rPr>
        <w:t xml:space="preserve"> difficult to predict</w:t>
      </w:r>
      <w:r w:rsidR="008E1DE8">
        <w:rPr>
          <w:lang w:eastAsia="zh-CN"/>
        </w:rPr>
        <w:t xml:space="preserve"> for a </w:t>
      </w:r>
      <w:r w:rsidR="005E6ABF">
        <w:rPr>
          <w:lang w:eastAsia="zh-CN"/>
        </w:rPr>
        <w:t>prospective</w:t>
      </w:r>
      <w:r w:rsidR="008E1DE8">
        <w:rPr>
          <w:lang w:eastAsia="zh-CN"/>
        </w:rPr>
        <w:t xml:space="preserve"> merchant investor</w:t>
      </w:r>
      <w:r w:rsidR="00C134DE">
        <w:rPr>
          <w:lang w:eastAsia="zh-CN"/>
        </w:rPr>
        <w:t>.  For instance</w:t>
      </w:r>
      <w:r w:rsidR="006636D0">
        <w:rPr>
          <w:lang w:eastAsia="zh-CN"/>
        </w:rPr>
        <w:t>:</w:t>
      </w:r>
    </w:p>
    <w:p w14:paraId="35D4830E" w14:textId="65F3388A" w:rsidR="00C75CE0" w:rsidRDefault="00C134DE" w:rsidP="00041B5A">
      <w:pPr>
        <w:pStyle w:val="rptmainbodybullets1"/>
        <w:rPr>
          <w:lang w:eastAsia="zh-CN"/>
        </w:rPr>
      </w:pPr>
      <w:r>
        <w:rPr>
          <w:lang w:eastAsia="zh-CN"/>
        </w:rPr>
        <w:t>OSW targets have grown</w:t>
      </w:r>
      <w:r w:rsidR="00A14845">
        <w:rPr>
          <w:lang w:eastAsia="zh-CN"/>
        </w:rPr>
        <w:t xml:space="preserve"> </w:t>
      </w:r>
      <w:r w:rsidR="00707BC2">
        <w:rPr>
          <w:lang w:eastAsia="zh-CN"/>
        </w:rPr>
        <w:t xml:space="preserve">significantly </w:t>
      </w:r>
      <w:r w:rsidR="00A14845">
        <w:rPr>
          <w:lang w:eastAsia="zh-CN"/>
        </w:rPr>
        <w:t xml:space="preserve">from </w:t>
      </w:r>
      <w:r w:rsidR="00707BC2">
        <w:rPr>
          <w:lang w:eastAsia="zh-CN"/>
        </w:rPr>
        <w:t>1.6</w:t>
      </w:r>
      <w:r w:rsidR="005E6ABF">
        <w:rPr>
          <w:lang w:eastAsia="zh-CN"/>
        </w:rPr>
        <w:t xml:space="preserve"> </w:t>
      </w:r>
      <w:r w:rsidR="00707BC2">
        <w:rPr>
          <w:lang w:eastAsia="zh-CN"/>
        </w:rPr>
        <w:t>GW in 201</w:t>
      </w:r>
      <w:r w:rsidR="00656EDF">
        <w:rPr>
          <w:lang w:eastAsia="zh-CN"/>
        </w:rPr>
        <w:t>6</w:t>
      </w:r>
      <w:r w:rsidR="00A14845">
        <w:rPr>
          <w:lang w:eastAsia="zh-CN"/>
        </w:rPr>
        <w:t xml:space="preserve"> to </w:t>
      </w:r>
      <w:r w:rsidR="00646D7D">
        <w:rPr>
          <w:lang w:eastAsia="zh-CN"/>
        </w:rPr>
        <w:t>over</w:t>
      </w:r>
      <w:r w:rsidR="00A14845">
        <w:rPr>
          <w:lang w:eastAsia="zh-CN"/>
        </w:rPr>
        <w:t xml:space="preserve"> 6</w:t>
      </w:r>
      <w:r w:rsidR="005E6ABF">
        <w:rPr>
          <w:lang w:eastAsia="zh-CN"/>
        </w:rPr>
        <w:t xml:space="preserve"> </w:t>
      </w:r>
      <w:r w:rsidR="00A14845">
        <w:rPr>
          <w:lang w:eastAsia="zh-CN"/>
        </w:rPr>
        <w:t>GW</w:t>
      </w:r>
      <w:r w:rsidR="006944C6">
        <w:rPr>
          <w:lang w:eastAsia="zh-CN"/>
        </w:rPr>
        <w:t xml:space="preserve"> </w:t>
      </w:r>
      <w:r w:rsidR="008901A9">
        <w:rPr>
          <w:lang w:eastAsia="zh-CN"/>
        </w:rPr>
        <w:t xml:space="preserve">in </w:t>
      </w:r>
      <w:r w:rsidR="006944C6">
        <w:rPr>
          <w:lang w:eastAsia="zh-CN"/>
        </w:rPr>
        <w:t xml:space="preserve">a period of </w:t>
      </w:r>
      <w:r w:rsidR="008901A9">
        <w:rPr>
          <w:lang w:eastAsia="zh-CN"/>
        </w:rPr>
        <w:t>four</w:t>
      </w:r>
      <w:r w:rsidR="006944C6">
        <w:rPr>
          <w:lang w:eastAsia="zh-CN"/>
        </w:rPr>
        <w:t xml:space="preserve"> years</w:t>
      </w:r>
      <w:r w:rsidR="0016547B">
        <w:rPr>
          <w:lang w:eastAsia="zh-CN"/>
        </w:rPr>
        <w:t>, with the possibility of additional increase</w:t>
      </w:r>
      <w:r w:rsidR="008901A9">
        <w:rPr>
          <w:lang w:eastAsia="zh-CN"/>
        </w:rPr>
        <w:t>s</w:t>
      </w:r>
      <w:r w:rsidR="0016547B">
        <w:rPr>
          <w:lang w:eastAsia="zh-CN"/>
        </w:rPr>
        <w:t xml:space="preserve"> in targets</w:t>
      </w:r>
      <w:r w:rsidR="00412390">
        <w:rPr>
          <w:lang w:eastAsia="zh-CN"/>
        </w:rPr>
        <w:t>.  In addition, the timeframe for the targets to be reached have also advanced.</w:t>
      </w:r>
    </w:p>
    <w:p w14:paraId="30A82B48" w14:textId="58F7B43E" w:rsidR="000309D6" w:rsidRDefault="00293686" w:rsidP="00041B5A">
      <w:pPr>
        <w:pStyle w:val="rptmainbodybullets1"/>
        <w:rPr>
          <w:lang w:eastAsia="zh-CN"/>
        </w:rPr>
      </w:pPr>
      <w:r>
        <w:rPr>
          <w:lang w:eastAsia="zh-CN"/>
        </w:rPr>
        <w:lastRenderedPageBreak/>
        <w:t>N</w:t>
      </w:r>
      <w:r w:rsidR="005A5C19">
        <w:rPr>
          <w:lang w:eastAsia="zh-CN"/>
        </w:rPr>
        <w:t xml:space="preserve">o states in New England had large </w:t>
      </w:r>
      <w:r w:rsidR="004D4391">
        <w:rPr>
          <w:lang w:eastAsia="zh-CN"/>
        </w:rPr>
        <w:t xml:space="preserve">energy storage </w:t>
      </w:r>
      <w:r w:rsidR="005A5C19">
        <w:rPr>
          <w:lang w:eastAsia="zh-CN"/>
        </w:rPr>
        <w:t xml:space="preserve">procurement targets </w:t>
      </w:r>
      <w:r w:rsidR="004D4391">
        <w:rPr>
          <w:lang w:eastAsia="zh-CN"/>
        </w:rPr>
        <w:t>prior to 2018</w:t>
      </w:r>
      <w:r w:rsidR="00942F35">
        <w:rPr>
          <w:lang w:eastAsia="zh-CN"/>
        </w:rPr>
        <w:t>.  However,</w:t>
      </w:r>
      <w:r w:rsidR="004D4391">
        <w:rPr>
          <w:lang w:eastAsia="zh-CN"/>
        </w:rPr>
        <w:t xml:space="preserve"> </w:t>
      </w:r>
      <w:r w:rsidR="00960EDF">
        <w:rPr>
          <w:lang w:eastAsia="zh-CN"/>
        </w:rPr>
        <w:t xml:space="preserve">in the past </w:t>
      </w:r>
      <w:r w:rsidR="00612748">
        <w:rPr>
          <w:lang w:eastAsia="zh-CN"/>
        </w:rPr>
        <w:t>four years</w:t>
      </w:r>
      <w:r w:rsidR="00EE1368">
        <w:rPr>
          <w:lang w:eastAsia="zh-CN"/>
        </w:rPr>
        <w:t>,</w:t>
      </w:r>
      <w:r w:rsidR="00612748">
        <w:rPr>
          <w:lang w:eastAsia="zh-CN"/>
        </w:rPr>
        <w:t xml:space="preserve"> three states have adopted a total of </w:t>
      </w:r>
      <w:r w:rsidR="00C600C7">
        <w:rPr>
          <w:lang w:eastAsia="zh-CN"/>
        </w:rPr>
        <w:t xml:space="preserve">1,400 MW plus 1,000 MWh in explicit storage targets, </w:t>
      </w:r>
      <w:r w:rsidR="00081202">
        <w:rPr>
          <w:lang w:eastAsia="zh-CN"/>
        </w:rPr>
        <w:t>and Massachusetts has adopted</w:t>
      </w:r>
      <w:r w:rsidR="00C600C7">
        <w:rPr>
          <w:lang w:eastAsia="zh-CN"/>
        </w:rPr>
        <w:t xml:space="preserve"> </w:t>
      </w:r>
      <w:r w:rsidR="001473DE">
        <w:rPr>
          <w:lang w:eastAsia="zh-CN"/>
        </w:rPr>
        <w:t>large</w:t>
      </w:r>
      <w:r w:rsidR="00A21FD3">
        <w:rPr>
          <w:lang w:eastAsia="zh-CN"/>
        </w:rPr>
        <w:t xml:space="preserve"> </w:t>
      </w:r>
      <w:r w:rsidR="008B3860">
        <w:rPr>
          <w:lang w:eastAsia="zh-CN"/>
        </w:rPr>
        <w:t xml:space="preserve">but uncertain </w:t>
      </w:r>
      <w:r w:rsidR="00DE7365">
        <w:rPr>
          <w:lang w:eastAsia="zh-CN"/>
        </w:rPr>
        <w:t>storage</w:t>
      </w:r>
      <w:r w:rsidR="00D3132B">
        <w:rPr>
          <w:lang w:eastAsia="zh-CN"/>
        </w:rPr>
        <w:t xml:space="preserve"> entry</w:t>
      </w:r>
      <w:r w:rsidR="0058125F">
        <w:rPr>
          <w:lang w:eastAsia="zh-CN"/>
        </w:rPr>
        <w:t xml:space="preserve"> objectives</w:t>
      </w:r>
      <w:r w:rsidR="00D3132B">
        <w:rPr>
          <w:lang w:eastAsia="zh-CN"/>
        </w:rPr>
        <w:t xml:space="preserve"> under the SMART and Clean Peak Standard programs.</w:t>
      </w:r>
      <w:r w:rsidR="001473DE">
        <w:rPr>
          <w:lang w:eastAsia="zh-CN"/>
        </w:rPr>
        <w:t xml:space="preserve"> </w:t>
      </w:r>
      <w:r w:rsidR="00194274">
        <w:rPr>
          <w:lang w:eastAsia="zh-CN"/>
        </w:rPr>
        <w:t xml:space="preserve"> We estimate that over 4 GW of </w:t>
      </w:r>
      <w:r w:rsidR="00C7521C">
        <w:rPr>
          <w:lang w:eastAsia="zh-CN"/>
        </w:rPr>
        <w:t xml:space="preserve">energy storage </w:t>
      </w:r>
      <w:r w:rsidR="00026084">
        <w:rPr>
          <w:lang w:eastAsia="zh-CN"/>
        </w:rPr>
        <w:t xml:space="preserve">could enter under </w:t>
      </w:r>
      <w:r w:rsidR="00026084" w:rsidRPr="00E77A96">
        <w:rPr>
          <w:i/>
          <w:iCs/>
          <w:lang w:eastAsia="zh-CN"/>
        </w:rPr>
        <w:t>existing</w:t>
      </w:r>
      <w:r w:rsidR="00026084">
        <w:rPr>
          <w:lang w:eastAsia="zh-CN"/>
        </w:rPr>
        <w:t xml:space="preserve"> state programs by 2030</w:t>
      </w:r>
      <w:r w:rsidR="009216B6">
        <w:rPr>
          <w:lang w:eastAsia="zh-CN"/>
        </w:rPr>
        <w:t xml:space="preserve">, but additional </w:t>
      </w:r>
      <w:r w:rsidR="00521864">
        <w:rPr>
          <w:lang w:eastAsia="zh-CN"/>
        </w:rPr>
        <w:t>entry is</w:t>
      </w:r>
      <w:r w:rsidR="009216B6">
        <w:rPr>
          <w:lang w:eastAsia="zh-CN"/>
        </w:rPr>
        <w:t xml:space="preserve"> possible</w:t>
      </w:r>
      <w:r w:rsidR="00026084">
        <w:rPr>
          <w:lang w:eastAsia="zh-CN"/>
        </w:rPr>
        <w:t>.</w:t>
      </w:r>
      <w:r w:rsidR="004359CC">
        <w:rPr>
          <w:lang w:eastAsia="zh-CN"/>
        </w:rPr>
        <w:t xml:space="preserve">  </w:t>
      </w:r>
    </w:p>
    <w:p w14:paraId="23202B6A" w14:textId="7F3D96BE" w:rsidR="00921C14" w:rsidRDefault="00A7654F" w:rsidP="00041B5A">
      <w:pPr>
        <w:pStyle w:val="rptmainbodybullets1"/>
        <w:rPr>
          <w:lang w:eastAsia="zh-CN"/>
        </w:rPr>
      </w:pPr>
      <w:r>
        <w:rPr>
          <w:lang w:eastAsia="zh-CN"/>
        </w:rPr>
        <w:t>W</w:t>
      </w:r>
      <w:r w:rsidR="00C40AE3">
        <w:rPr>
          <w:lang w:eastAsia="zh-CN"/>
        </w:rPr>
        <w:t xml:space="preserve">hile </w:t>
      </w:r>
      <w:r w:rsidR="00DA1838">
        <w:rPr>
          <w:lang w:eastAsia="zh-CN"/>
        </w:rPr>
        <w:t xml:space="preserve">the </w:t>
      </w:r>
      <w:r w:rsidR="00D60325">
        <w:rPr>
          <w:lang w:eastAsia="zh-CN"/>
        </w:rPr>
        <w:t xml:space="preserve">original </w:t>
      </w:r>
      <w:r w:rsidR="00DA1838">
        <w:rPr>
          <w:lang w:eastAsia="zh-CN"/>
        </w:rPr>
        <w:t xml:space="preserve">target </w:t>
      </w:r>
      <w:r w:rsidR="002B75BB">
        <w:rPr>
          <w:lang w:eastAsia="zh-CN"/>
        </w:rPr>
        <w:t xml:space="preserve">date </w:t>
      </w:r>
      <w:r w:rsidR="002A420F">
        <w:rPr>
          <w:lang w:eastAsia="zh-CN"/>
        </w:rPr>
        <w:t xml:space="preserve">for </w:t>
      </w:r>
      <w:r w:rsidR="002B75BB">
        <w:rPr>
          <w:lang w:eastAsia="zh-CN"/>
        </w:rPr>
        <w:t>a</w:t>
      </w:r>
      <w:r w:rsidR="00BE43BF">
        <w:rPr>
          <w:lang w:eastAsia="zh-CN"/>
        </w:rPr>
        <w:t xml:space="preserve"> </w:t>
      </w:r>
      <w:r w:rsidR="002B75BB">
        <w:rPr>
          <w:lang w:eastAsia="zh-CN"/>
        </w:rPr>
        <w:t xml:space="preserve">transmission </w:t>
      </w:r>
      <w:r w:rsidR="00BE43BF">
        <w:rPr>
          <w:lang w:eastAsia="zh-CN"/>
        </w:rPr>
        <w:t>line</w:t>
      </w:r>
      <w:r w:rsidR="00DA1838">
        <w:rPr>
          <w:lang w:eastAsia="zh-CN"/>
        </w:rPr>
        <w:t xml:space="preserve"> </w:t>
      </w:r>
      <w:r w:rsidR="002B75BB">
        <w:rPr>
          <w:lang w:eastAsia="zh-CN"/>
        </w:rPr>
        <w:t>that would allow import</w:t>
      </w:r>
      <w:r w:rsidR="00E914D1">
        <w:rPr>
          <w:lang w:eastAsia="zh-CN"/>
        </w:rPr>
        <w:t>ation of 1.2 GW of</w:t>
      </w:r>
      <w:r w:rsidR="002B75BB">
        <w:rPr>
          <w:lang w:eastAsia="zh-CN"/>
        </w:rPr>
        <w:t xml:space="preserve"> hydropower from Quebec </w:t>
      </w:r>
      <w:r w:rsidR="00DA1838">
        <w:rPr>
          <w:lang w:eastAsia="zh-CN"/>
        </w:rPr>
        <w:t xml:space="preserve">was </w:t>
      </w:r>
      <w:r w:rsidR="00054E95">
        <w:rPr>
          <w:lang w:eastAsia="zh-CN"/>
        </w:rPr>
        <w:t>late-</w:t>
      </w:r>
      <w:r w:rsidR="002B75BB">
        <w:rPr>
          <w:lang w:eastAsia="zh-CN"/>
        </w:rPr>
        <w:t>2022</w:t>
      </w:r>
      <w:r w:rsidR="002A420F">
        <w:rPr>
          <w:lang w:eastAsia="zh-CN"/>
        </w:rPr>
        <w:t xml:space="preserve">, </w:t>
      </w:r>
      <w:r w:rsidR="002B75BB">
        <w:rPr>
          <w:lang w:eastAsia="zh-CN"/>
        </w:rPr>
        <w:t>the line</w:t>
      </w:r>
      <w:r w:rsidR="002A420F">
        <w:rPr>
          <w:lang w:eastAsia="zh-CN"/>
        </w:rPr>
        <w:t xml:space="preserve"> </w:t>
      </w:r>
      <w:r w:rsidR="00054E95">
        <w:rPr>
          <w:lang w:eastAsia="zh-CN"/>
        </w:rPr>
        <w:t>has not sold</w:t>
      </w:r>
      <w:r w:rsidR="002B75BB">
        <w:rPr>
          <w:lang w:eastAsia="zh-CN"/>
        </w:rPr>
        <w:t xml:space="preserve"> capacity</w:t>
      </w:r>
      <w:r w:rsidR="00293763">
        <w:rPr>
          <w:lang w:eastAsia="zh-CN"/>
        </w:rPr>
        <w:t xml:space="preserve"> through FCA-15, which is for</w:t>
      </w:r>
      <w:r w:rsidR="002B75BB">
        <w:rPr>
          <w:lang w:eastAsia="zh-CN"/>
        </w:rPr>
        <w:t xml:space="preserve"> </w:t>
      </w:r>
      <w:r w:rsidR="00F645CB">
        <w:rPr>
          <w:lang w:eastAsia="zh-CN"/>
        </w:rPr>
        <w:t>2024/25.</w:t>
      </w:r>
    </w:p>
    <w:p w14:paraId="7DF4AA9A" w14:textId="4411901C" w:rsidR="00CC1520" w:rsidRDefault="004941EE" w:rsidP="00921C14">
      <w:pPr>
        <w:pStyle w:val="rptmainbodytext"/>
        <w:rPr>
          <w:lang w:eastAsia="zh-CN"/>
        </w:rPr>
      </w:pPr>
      <w:r w:rsidRPr="004941EE">
        <w:rPr>
          <w:lang w:eastAsia="zh-CN"/>
        </w:rPr>
        <w:t>All</w:t>
      </w:r>
      <w:r w:rsidR="00B00E35">
        <w:rPr>
          <w:lang w:eastAsia="zh-CN"/>
        </w:rPr>
        <w:t xml:space="preserve"> of</w:t>
      </w:r>
      <w:r w:rsidRPr="004941EE">
        <w:rPr>
          <w:lang w:eastAsia="zh-CN"/>
        </w:rPr>
        <w:t xml:space="preserve"> the above </w:t>
      </w:r>
      <w:r w:rsidR="00DA75A4">
        <w:rPr>
          <w:lang w:eastAsia="zh-CN"/>
        </w:rPr>
        <w:t>targets</w:t>
      </w:r>
      <w:r w:rsidR="00415B25">
        <w:rPr>
          <w:lang w:eastAsia="zh-CN"/>
        </w:rPr>
        <w:t xml:space="preserve"> are likely to</w:t>
      </w:r>
      <w:r w:rsidRPr="004941EE">
        <w:rPr>
          <w:lang w:eastAsia="zh-CN"/>
        </w:rPr>
        <w:t xml:space="preserve"> impact the </w:t>
      </w:r>
      <w:r w:rsidR="00415B25">
        <w:rPr>
          <w:lang w:eastAsia="zh-CN"/>
        </w:rPr>
        <w:t>supply-demand balance in future years</w:t>
      </w:r>
      <w:r w:rsidRPr="004941EE">
        <w:rPr>
          <w:lang w:eastAsia="zh-CN"/>
        </w:rPr>
        <w:t xml:space="preserve">.  </w:t>
      </w:r>
      <w:r w:rsidR="002151AD">
        <w:rPr>
          <w:lang w:eastAsia="zh-CN"/>
        </w:rPr>
        <w:t>A</w:t>
      </w:r>
      <w:r w:rsidR="005D0BE1">
        <w:rPr>
          <w:lang w:eastAsia="zh-CN"/>
        </w:rPr>
        <w:t xml:space="preserve">s demonstrated by the table above, the quantity and timing of </w:t>
      </w:r>
      <w:r w:rsidR="00E846CB">
        <w:rPr>
          <w:lang w:eastAsia="zh-CN"/>
        </w:rPr>
        <w:t>the</w:t>
      </w:r>
      <w:r w:rsidR="005D0BE1">
        <w:rPr>
          <w:lang w:eastAsia="zh-CN"/>
        </w:rPr>
        <w:t xml:space="preserve"> entry of sponsored policy resources has varied considerably</w:t>
      </w:r>
      <w:r w:rsidR="001137CF">
        <w:rPr>
          <w:lang w:eastAsia="zh-CN"/>
        </w:rPr>
        <w:t xml:space="preserve">.  </w:t>
      </w:r>
      <w:r w:rsidR="001B02EB">
        <w:rPr>
          <w:lang w:eastAsia="zh-CN"/>
        </w:rPr>
        <w:t xml:space="preserve">These changes would have </w:t>
      </w:r>
      <w:r w:rsidR="005D0BE1">
        <w:rPr>
          <w:lang w:eastAsia="zh-CN"/>
        </w:rPr>
        <w:t>been difficult to predict</w:t>
      </w:r>
      <w:r w:rsidR="001B02EB">
        <w:rPr>
          <w:lang w:eastAsia="zh-CN"/>
        </w:rPr>
        <w:t xml:space="preserve"> many years in advance</w:t>
      </w:r>
      <w:r w:rsidR="005D0BE1">
        <w:rPr>
          <w:lang w:eastAsia="zh-CN"/>
        </w:rPr>
        <w:t xml:space="preserve">.  </w:t>
      </w:r>
      <w:r w:rsidRPr="004941EE">
        <w:rPr>
          <w:lang w:eastAsia="zh-CN"/>
        </w:rPr>
        <w:t xml:space="preserve">In the absence of </w:t>
      </w:r>
      <w:r w:rsidR="001B02EB">
        <w:rPr>
          <w:lang w:eastAsia="zh-CN"/>
        </w:rPr>
        <w:t xml:space="preserve">the </w:t>
      </w:r>
      <w:r w:rsidRPr="004941EE">
        <w:rPr>
          <w:lang w:eastAsia="zh-CN"/>
        </w:rPr>
        <w:t xml:space="preserve">MOPR, the difficulty in predicting </w:t>
      </w:r>
      <w:r w:rsidR="008F182A">
        <w:rPr>
          <w:lang w:eastAsia="zh-CN"/>
        </w:rPr>
        <w:t xml:space="preserve">changes in </w:t>
      </w:r>
      <w:r w:rsidRPr="004941EE">
        <w:rPr>
          <w:lang w:eastAsia="zh-CN"/>
        </w:rPr>
        <w:t>these</w:t>
      </w:r>
      <w:r w:rsidR="008F182A">
        <w:rPr>
          <w:lang w:eastAsia="zh-CN"/>
        </w:rPr>
        <w:t xml:space="preserve"> policy</w:t>
      </w:r>
      <w:r w:rsidRPr="004941EE">
        <w:rPr>
          <w:lang w:eastAsia="zh-CN"/>
        </w:rPr>
        <w:t xml:space="preserve"> targets </w:t>
      </w:r>
      <w:r w:rsidR="008F182A" w:rsidRPr="004941EE">
        <w:rPr>
          <w:lang w:eastAsia="zh-CN"/>
        </w:rPr>
        <w:t>w</w:t>
      </w:r>
      <w:r w:rsidR="008F182A">
        <w:rPr>
          <w:lang w:eastAsia="zh-CN"/>
        </w:rPr>
        <w:t xml:space="preserve">ill lead </w:t>
      </w:r>
      <w:r w:rsidRPr="004941EE">
        <w:rPr>
          <w:lang w:eastAsia="zh-CN"/>
        </w:rPr>
        <w:t>to</w:t>
      </w:r>
      <w:r w:rsidR="008F182A">
        <w:rPr>
          <w:lang w:eastAsia="zh-CN"/>
        </w:rPr>
        <w:t xml:space="preserve"> increased</w:t>
      </w:r>
      <w:r w:rsidRPr="004941EE">
        <w:rPr>
          <w:lang w:eastAsia="zh-CN"/>
        </w:rPr>
        <w:t xml:space="preserve"> price volatility</w:t>
      </w:r>
      <w:r w:rsidR="00DA75A4">
        <w:rPr>
          <w:lang w:eastAsia="zh-CN"/>
        </w:rPr>
        <w:t>.</w:t>
      </w:r>
      <w:r w:rsidR="002A7074">
        <w:rPr>
          <w:lang w:eastAsia="zh-CN"/>
        </w:rPr>
        <w:t xml:space="preserve">  </w:t>
      </w:r>
    </w:p>
    <w:p w14:paraId="0F4024F8" w14:textId="7E36DB84" w:rsidR="000D4C2D" w:rsidRDefault="001B2537" w:rsidP="000D4C2D">
      <w:pPr>
        <w:pStyle w:val="rptmainbodyheading2"/>
        <w:rPr>
          <w:lang w:eastAsia="zh-CN"/>
        </w:rPr>
      </w:pPr>
      <w:bookmarkStart w:id="894" w:name="_Ref84315212"/>
      <w:bookmarkStart w:id="895" w:name="_Toc86419520"/>
      <w:r>
        <w:rPr>
          <w:lang w:eastAsia="zh-CN"/>
        </w:rPr>
        <w:t>Conclusions</w:t>
      </w:r>
      <w:bookmarkEnd w:id="894"/>
      <w:bookmarkEnd w:id="895"/>
    </w:p>
    <w:p w14:paraId="0929ED49" w14:textId="4C88A88B" w:rsidR="0098055D" w:rsidRPr="0098055D" w:rsidRDefault="008A6F63" w:rsidP="0013438C">
      <w:pPr>
        <w:pStyle w:val="rptmainbodytext"/>
        <w:rPr>
          <w:lang w:eastAsia="zh-CN"/>
        </w:rPr>
      </w:pPr>
      <w:r>
        <w:rPr>
          <w:lang w:eastAsia="zh-CN"/>
        </w:rPr>
        <w:t>The capacity market is designed to</w:t>
      </w:r>
      <w:r w:rsidR="00570354">
        <w:rPr>
          <w:lang w:eastAsia="zh-CN"/>
        </w:rPr>
        <w:t xml:space="preserve"> </w:t>
      </w:r>
      <w:r w:rsidR="0015733B" w:rsidRPr="00BC2952">
        <w:t>provide efficient incentives for the investment needed to satisfy resource adequacy needs</w:t>
      </w:r>
      <w:r w:rsidR="00B136A7">
        <w:t>.</w:t>
      </w:r>
      <w:r w:rsidR="00951376">
        <w:t xml:space="preserve"> </w:t>
      </w:r>
      <w:r w:rsidR="00B136A7">
        <w:t xml:space="preserve"> </w:t>
      </w:r>
      <w:r w:rsidR="00B136A7">
        <w:rPr>
          <w:lang w:eastAsia="zh-CN"/>
        </w:rPr>
        <w:t xml:space="preserve">In a competitive market, </w:t>
      </w:r>
      <w:r w:rsidR="0015733B">
        <w:t>supply offers and capacity demand curves</w:t>
      </w:r>
      <w:r w:rsidR="00D176F1">
        <w:t xml:space="preserve"> each contribute to price stability</w:t>
      </w:r>
      <w:r w:rsidR="00E70A8D">
        <w:rPr>
          <w:lang w:eastAsia="zh-CN"/>
        </w:rPr>
        <w:t>.</w:t>
      </w:r>
      <w:r w:rsidR="00061A6B">
        <w:rPr>
          <w:lang w:eastAsia="zh-CN"/>
        </w:rPr>
        <w:t xml:space="preserve">  </w:t>
      </w:r>
      <w:r w:rsidR="002C3FBF">
        <w:rPr>
          <w:lang w:eastAsia="zh-CN"/>
        </w:rPr>
        <w:t>Price-responsive s</w:t>
      </w:r>
      <w:r w:rsidR="00061A6B">
        <w:rPr>
          <w:lang w:eastAsia="zh-CN"/>
        </w:rPr>
        <w:t xml:space="preserve">upply offers </w:t>
      </w:r>
      <w:r w:rsidR="002C3FBF">
        <w:rPr>
          <w:lang w:eastAsia="zh-CN"/>
        </w:rPr>
        <w:t>moderate shocks</w:t>
      </w:r>
      <w:r w:rsidR="00762218">
        <w:rPr>
          <w:lang w:eastAsia="zh-CN"/>
        </w:rPr>
        <w:t xml:space="preserve"> to the market</w:t>
      </w:r>
      <w:r w:rsidR="002C3FBF">
        <w:rPr>
          <w:lang w:eastAsia="zh-CN"/>
        </w:rPr>
        <w:t xml:space="preserve"> by </w:t>
      </w:r>
      <w:r w:rsidR="00061A6B">
        <w:rPr>
          <w:lang w:eastAsia="zh-CN"/>
        </w:rPr>
        <w:t>respond</w:t>
      </w:r>
      <w:r w:rsidR="00637AE9">
        <w:rPr>
          <w:lang w:eastAsia="zh-CN"/>
        </w:rPr>
        <w:t>ing</w:t>
      </w:r>
      <w:r w:rsidR="00061A6B">
        <w:rPr>
          <w:lang w:eastAsia="zh-CN"/>
        </w:rPr>
        <w:t xml:space="preserve"> to high prices with </w:t>
      </w:r>
      <w:r w:rsidR="00235734">
        <w:rPr>
          <w:lang w:eastAsia="zh-CN"/>
        </w:rPr>
        <w:t>new entry</w:t>
      </w:r>
      <w:r w:rsidR="00061A6B">
        <w:rPr>
          <w:lang w:eastAsia="zh-CN"/>
        </w:rPr>
        <w:t xml:space="preserve"> and low prices with </w:t>
      </w:r>
      <w:r w:rsidR="00235734">
        <w:rPr>
          <w:lang w:eastAsia="zh-CN"/>
        </w:rPr>
        <w:t xml:space="preserve">retirement.  </w:t>
      </w:r>
      <w:r w:rsidR="0059285F">
        <w:rPr>
          <w:lang w:eastAsia="zh-CN"/>
        </w:rPr>
        <w:t>T</w:t>
      </w:r>
      <w:r w:rsidR="00570354">
        <w:rPr>
          <w:lang w:eastAsia="zh-CN"/>
        </w:rPr>
        <w:t>he demand curves</w:t>
      </w:r>
      <w:r w:rsidR="00235734">
        <w:rPr>
          <w:lang w:eastAsia="zh-CN"/>
        </w:rPr>
        <w:t xml:space="preserve"> also</w:t>
      </w:r>
      <w:r w:rsidR="00570354">
        <w:rPr>
          <w:lang w:eastAsia="zh-CN"/>
        </w:rPr>
        <w:t xml:space="preserve"> </w:t>
      </w:r>
      <w:r w:rsidR="0059285F">
        <w:rPr>
          <w:lang w:eastAsia="zh-CN"/>
        </w:rPr>
        <w:t xml:space="preserve">contribute to price stability </w:t>
      </w:r>
      <w:r w:rsidR="00D44577">
        <w:rPr>
          <w:lang w:eastAsia="zh-CN"/>
        </w:rPr>
        <w:t>because</w:t>
      </w:r>
      <w:r w:rsidR="00BA2757">
        <w:rPr>
          <w:lang w:eastAsia="zh-CN"/>
        </w:rPr>
        <w:t xml:space="preserve"> t</w:t>
      </w:r>
      <w:r w:rsidR="0098055D" w:rsidRPr="0098055D">
        <w:rPr>
          <w:lang w:eastAsia="zh-CN"/>
        </w:rPr>
        <w:t xml:space="preserve">he sloped shape of the demand curve </w:t>
      </w:r>
      <w:r w:rsidR="00D31433">
        <w:rPr>
          <w:lang w:eastAsia="zh-CN"/>
        </w:rPr>
        <w:t>causes</w:t>
      </w:r>
      <w:r w:rsidR="00D31433" w:rsidRPr="0098055D">
        <w:rPr>
          <w:lang w:eastAsia="zh-CN"/>
        </w:rPr>
        <w:t xml:space="preserve"> </w:t>
      </w:r>
      <w:r w:rsidR="0098055D" w:rsidRPr="0098055D">
        <w:rPr>
          <w:lang w:eastAsia="zh-CN"/>
        </w:rPr>
        <w:t>price</w:t>
      </w:r>
      <w:r w:rsidR="00D31433">
        <w:rPr>
          <w:lang w:eastAsia="zh-CN"/>
        </w:rPr>
        <w:t>s</w:t>
      </w:r>
      <w:r w:rsidR="0098055D" w:rsidRPr="0098055D">
        <w:rPr>
          <w:lang w:eastAsia="zh-CN"/>
        </w:rPr>
        <w:t xml:space="preserve"> </w:t>
      </w:r>
      <w:r w:rsidR="00D31433">
        <w:rPr>
          <w:lang w:eastAsia="zh-CN"/>
        </w:rPr>
        <w:t>to</w:t>
      </w:r>
      <w:r w:rsidR="0098055D" w:rsidRPr="0098055D">
        <w:rPr>
          <w:lang w:eastAsia="zh-CN"/>
        </w:rPr>
        <w:t xml:space="preserve"> increas</w:t>
      </w:r>
      <w:r w:rsidR="00D31433">
        <w:rPr>
          <w:lang w:eastAsia="zh-CN"/>
        </w:rPr>
        <w:t>e</w:t>
      </w:r>
      <w:r w:rsidR="0098055D" w:rsidRPr="0098055D">
        <w:rPr>
          <w:lang w:eastAsia="zh-CN"/>
        </w:rPr>
        <w:t xml:space="preserve"> as </w:t>
      </w:r>
      <w:r w:rsidR="00D31433">
        <w:rPr>
          <w:lang w:eastAsia="zh-CN"/>
        </w:rPr>
        <w:t xml:space="preserve">the capacity </w:t>
      </w:r>
      <w:r w:rsidR="0098055D" w:rsidRPr="0098055D">
        <w:rPr>
          <w:lang w:eastAsia="zh-CN"/>
        </w:rPr>
        <w:t>surplus falls</w:t>
      </w:r>
      <w:r w:rsidR="00D31433">
        <w:rPr>
          <w:lang w:eastAsia="zh-CN"/>
        </w:rPr>
        <w:t>,</w:t>
      </w:r>
      <w:r w:rsidR="0098055D" w:rsidRPr="0098055D">
        <w:rPr>
          <w:lang w:eastAsia="zh-CN"/>
        </w:rPr>
        <w:t xml:space="preserve"> and vice versa.</w:t>
      </w:r>
    </w:p>
    <w:p w14:paraId="60E38E00" w14:textId="46732137" w:rsidR="000C78CF" w:rsidRDefault="00EE2479" w:rsidP="00EE2479">
      <w:pPr>
        <w:pStyle w:val="rptmainbodytext"/>
        <w:rPr>
          <w:lang w:eastAsia="zh-CN"/>
        </w:rPr>
        <w:sectPr w:rsidR="000C78CF" w:rsidSect="00936145">
          <w:headerReference w:type="even" r:id="rId29"/>
          <w:headerReference w:type="default" r:id="rId30"/>
          <w:type w:val="oddPage"/>
          <w:pgSz w:w="12240" w:h="15840" w:code="1"/>
          <w:pgMar w:top="1440" w:right="1440" w:bottom="1440" w:left="1440" w:header="720" w:footer="720" w:gutter="0"/>
          <w:cols w:space="720"/>
          <w:docGrid w:linePitch="360"/>
        </w:sectPr>
      </w:pPr>
      <w:r w:rsidRPr="00EE2479">
        <w:rPr>
          <w:lang w:eastAsia="zh-CN"/>
        </w:rPr>
        <w:t xml:space="preserve">Investors that rely on wholesale market revenues respond to </w:t>
      </w:r>
      <w:r>
        <w:rPr>
          <w:lang w:eastAsia="zh-CN"/>
        </w:rPr>
        <w:t>supply and demand</w:t>
      </w:r>
      <w:r w:rsidRPr="00EE2479">
        <w:rPr>
          <w:lang w:eastAsia="zh-CN"/>
        </w:rPr>
        <w:t xml:space="preserve"> shocks in a manner that dampens their effects.</w:t>
      </w:r>
      <w:r>
        <w:rPr>
          <w:lang w:eastAsia="zh-CN"/>
        </w:rPr>
        <w:t xml:space="preserve">  </w:t>
      </w:r>
      <w:r w:rsidR="004A66C2">
        <w:rPr>
          <w:lang w:eastAsia="zh-CN"/>
        </w:rPr>
        <w:t>However, h</w:t>
      </w:r>
      <w:r w:rsidRPr="00EE2479">
        <w:rPr>
          <w:lang w:eastAsia="zh-CN"/>
        </w:rPr>
        <w:t>igh levels of investment that disregards wholesale prices may exhaust the capability of the market to respond to shocks</w:t>
      </w:r>
      <w:r w:rsidR="004A66C2">
        <w:rPr>
          <w:lang w:eastAsia="zh-CN"/>
        </w:rPr>
        <w:t>, and</w:t>
      </w:r>
      <w:r w:rsidR="00FB34A6">
        <w:rPr>
          <w:lang w:eastAsia="zh-CN"/>
        </w:rPr>
        <w:t xml:space="preserve"> </w:t>
      </w:r>
      <w:r w:rsidR="004A66C2">
        <w:rPr>
          <w:lang w:eastAsia="zh-CN"/>
        </w:rPr>
        <w:t>p</w:t>
      </w:r>
      <w:r w:rsidRPr="00EE2479">
        <w:rPr>
          <w:lang w:eastAsia="zh-CN"/>
        </w:rPr>
        <w:t xml:space="preserve">olicy-driven investment tends to increase </w:t>
      </w:r>
      <w:r w:rsidR="003C4CA7">
        <w:rPr>
          <w:lang w:eastAsia="zh-CN"/>
        </w:rPr>
        <w:t xml:space="preserve">these </w:t>
      </w:r>
      <w:r w:rsidRPr="00EE2479">
        <w:rPr>
          <w:lang w:eastAsia="zh-CN"/>
        </w:rPr>
        <w:t>shocks</w:t>
      </w:r>
      <w:r w:rsidR="003C4CA7">
        <w:rPr>
          <w:lang w:eastAsia="zh-CN"/>
        </w:rPr>
        <w:t xml:space="preserve"> to the market</w:t>
      </w:r>
      <w:r w:rsidRPr="00EE2479">
        <w:rPr>
          <w:lang w:eastAsia="zh-CN"/>
        </w:rPr>
        <w:t>.</w:t>
      </w:r>
      <w:r w:rsidR="00FB34A6">
        <w:rPr>
          <w:lang w:eastAsia="zh-CN"/>
        </w:rPr>
        <w:t xml:space="preserve">  T</w:t>
      </w:r>
      <w:r w:rsidRPr="00EE2479">
        <w:rPr>
          <w:lang w:eastAsia="zh-CN"/>
        </w:rPr>
        <w:t>he status quo MOPR reduces the resulting price effects</w:t>
      </w:r>
      <w:r w:rsidR="00FB34A6">
        <w:rPr>
          <w:lang w:eastAsia="zh-CN"/>
        </w:rPr>
        <w:t>, while e</w:t>
      </w:r>
      <w:r w:rsidRPr="00EE2479">
        <w:rPr>
          <w:lang w:eastAsia="zh-CN"/>
        </w:rPr>
        <w:t>limination of the MOPR will tend to increase investment risks</w:t>
      </w:r>
      <w:r w:rsidR="003C4CA7">
        <w:rPr>
          <w:lang w:eastAsia="zh-CN"/>
        </w:rPr>
        <w:t xml:space="preserve">.  Accordingly, elimination of the MOPR provisions is likely to increase the </w:t>
      </w:r>
      <w:r w:rsidR="005E1A51">
        <w:rPr>
          <w:lang w:eastAsia="zh-CN"/>
        </w:rPr>
        <w:t>risk of investing in New England on a merchant basis</w:t>
      </w:r>
      <w:r w:rsidR="00452E3B">
        <w:rPr>
          <w:lang w:eastAsia="zh-CN"/>
        </w:rPr>
        <w:t>.  We discuss our methodology for quantifying this increase in risk</w:t>
      </w:r>
      <w:r w:rsidR="00AE6D69">
        <w:rPr>
          <w:lang w:eastAsia="zh-CN"/>
        </w:rPr>
        <w:t xml:space="preserve"> and the associated increase in </w:t>
      </w:r>
      <w:r w:rsidR="00965458">
        <w:rPr>
          <w:lang w:eastAsia="zh-CN"/>
        </w:rPr>
        <w:t xml:space="preserve">the </w:t>
      </w:r>
      <w:r w:rsidR="00AE6D69">
        <w:rPr>
          <w:lang w:eastAsia="zh-CN"/>
        </w:rPr>
        <w:t>cost of capital in the next section.</w:t>
      </w:r>
      <w:r w:rsidR="00033CBA">
        <w:rPr>
          <w:lang w:eastAsia="zh-CN"/>
        </w:rPr>
        <w:t xml:space="preserve">  This recommended increase in the </w:t>
      </w:r>
      <w:r w:rsidR="00D953F6">
        <w:rPr>
          <w:lang w:eastAsia="zh-CN"/>
        </w:rPr>
        <w:t xml:space="preserve">cost of capital </w:t>
      </w:r>
      <w:r w:rsidR="00CB791C">
        <w:rPr>
          <w:lang w:eastAsia="zh-CN"/>
        </w:rPr>
        <w:t>will allow the capacity market to facilitate investment and retirement decisions that will satisfy New En</w:t>
      </w:r>
      <w:r w:rsidR="00033CBA">
        <w:rPr>
          <w:lang w:eastAsia="zh-CN"/>
        </w:rPr>
        <w:t>gland’s resource adequacy needs</w:t>
      </w:r>
      <w:r w:rsidR="00AE6D69">
        <w:rPr>
          <w:lang w:eastAsia="zh-CN"/>
        </w:rPr>
        <w:t>.</w:t>
      </w:r>
    </w:p>
    <w:p w14:paraId="10BE0466" w14:textId="4AC0EE52" w:rsidR="00302119" w:rsidRDefault="0087582A" w:rsidP="006F12C1">
      <w:pPr>
        <w:pStyle w:val="rptmainbodyheading1"/>
        <w:numPr>
          <w:ilvl w:val="0"/>
          <w:numId w:val="44"/>
        </w:numPr>
      </w:pPr>
      <w:bookmarkStart w:id="896" w:name="_Ref84237600"/>
      <w:bookmarkStart w:id="897" w:name="_Toc86419521"/>
      <w:bookmarkStart w:id="898" w:name="_Ref8730700"/>
      <w:bookmarkStart w:id="899" w:name="_Toc8740629"/>
      <w:bookmarkStart w:id="900" w:name="_Ref41392293"/>
      <w:r w:rsidRPr="0087582A">
        <w:lastRenderedPageBreak/>
        <w:t>Study Methodology</w:t>
      </w:r>
      <w:bookmarkEnd w:id="896"/>
      <w:bookmarkEnd w:id="897"/>
      <w:r w:rsidR="00302119">
        <w:t xml:space="preserve"> </w:t>
      </w:r>
      <w:bookmarkEnd w:id="898"/>
      <w:bookmarkEnd w:id="899"/>
      <w:bookmarkEnd w:id="900"/>
    </w:p>
    <w:p w14:paraId="7D72989F" w14:textId="653E6AC2" w:rsidR="00735DDD" w:rsidRDefault="00D953F6" w:rsidP="00302119">
      <w:pPr>
        <w:pStyle w:val="rptmainbodytext"/>
      </w:pPr>
      <w:r w:rsidRPr="00F6317F">
        <w:t xml:space="preserve">Recent CONE studies have estimated the </w:t>
      </w:r>
      <w:r>
        <w:t xml:space="preserve">cost of capital </w:t>
      </w:r>
      <w:r w:rsidRPr="00F6317F">
        <w:t xml:space="preserve">of a new entrant based on a review of historical returns required by investors in power generation assets operating in regions with competitive wholesale markets.  Each of these markets is either in a state jurisdiction with limited policy intervention or has limited the price effects of subsidized entry with a MOPR.  </w:t>
      </w:r>
      <w:r>
        <w:t>Hence, t</w:t>
      </w:r>
      <w:r w:rsidRPr="00F6317F">
        <w:t xml:space="preserve">he available historic data </w:t>
      </w:r>
      <w:r>
        <w:t xml:space="preserve">does not reflect the returns an investor would expect in </w:t>
      </w:r>
      <w:r w:rsidRPr="00F6317F">
        <w:t xml:space="preserve">a competitive power market without a MOPR </w:t>
      </w:r>
      <w:r>
        <w:t xml:space="preserve">and </w:t>
      </w:r>
      <w:r w:rsidRPr="00F6317F">
        <w:t xml:space="preserve">high levels of policy-driven investment.  Hence, </w:t>
      </w:r>
      <w:r>
        <w:t xml:space="preserve">it is important to account for the effects of eliminating the MOPR provisions </w:t>
      </w:r>
      <w:r w:rsidR="00BC1A06">
        <w:t>o</w:t>
      </w:r>
      <w:r>
        <w:t xml:space="preserve">n </w:t>
      </w:r>
      <w:r w:rsidRPr="00F6317F">
        <w:t xml:space="preserve">the WACC. </w:t>
      </w:r>
    </w:p>
    <w:p w14:paraId="2ABCD223" w14:textId="24B1B082" w:rsidR="00B636C5" w:rsidRDefault="00965F48" w:rsidP="001B35D5">
      <w:pPr>
        <w:pStyle w:val="rptmainbodytext"/>
      </w:pPr>
      <w:r>
        <w:t xml:space="preserve">This section of the report describes our </w:t>
      </w:r>
      <w:r w:rsidR="001F1105">
        <w:t xml:space="preserve">model for </w:t>
      </w:r>
      <w:r w:rsidR="00B636C5" w:rsidRPr="00AF0828">
        <w:t>estimat</w:t>
      </w:r>
      <w:r w:rsidR="00B8055C">
        <w:t>ing</w:t>
      </w:r>
      <w:r w:rsidR="00B636C5" w:rsidRPr="00AF0828">
        <w:t xml:space="preserve"> how future price volatility would be affected by </w:t>
      </w:r>
      <w:r w:rsidR="00B636C5" w:rsidRPr="00AF0828">
        <w:rPr>
          <w:i/>
          <w:iCs/>
        </w:rPr>
        <w:t>a change</w:t>
      </w:r>
      <w:r w:rsidR="00B636C5" w:rsidRPr="00AF0828">
        <w:t xml:space="preserve"> in market rules</w:t>
      </w:r>
      <w:r w:rsidR="00B30938">
        <w:t xml:space="preserve"> (i.e., elimination of MOPR)</w:t>
      </w:r>
      <w:r w:rsidR="00B636C5" w:rsidRPr="00AF0828">
        <w:t>.</w:t>
      </w:r>
      <w:r w:rsidR="00B636C5">
        <w:t xml:space="preserve">  </w:t>
      </w:r>
      <w:r w:rsidR="007A5A88">
        <w:t>Spe</w:t>
      </w:r>
      <w:r w:rsidR="00B03639">
        <w:t xml:space="preserve">cifically, </w:t>
      </w:r>
      <w:r w:rsidR="00B636C5">
        <w:t>our model estimate</w:t>
      </w:r>
      <w:r w:rsidR="00B03639">
        <w:t>s</w:t>
      </w:r>
      <w:r w:rsidR="004C33D9">
        <w:t xml:space="preserve"> </w:t>
      </w:r>
      <w:r w:rsidR="00B03639">
        <w:t xml:space="preserve">how </w:t>
      </w:r>
      <w:r w:rsidR="00CD167E">
        <w:t>a change in</w:t>
      </w:r>
      <w:r w:rsidR="00A362A5">
        <w:t xml:space="preserve"> </w:t>
      </w:r>
      <w:r w:rsidR="00FC37A0">
        <w:t>price volatility</w:t>
      </w:r>
      <w:r w:rsidR="00CD167E">
        <w:t xml:space="preserve"> resulting from MOPR elimination</w:t>
      </w:r>
      <w:r w:rsidR="00FC37A0">
        <w:t xml:space="preserve"> would </w:t>
      </w:r>
      <w:r w:rsidR="004C33D9">
        <w:t>change</w:t>
      </w:r>
      <w:r w:rsidR="00B636C5">
        <w:t>:</w:t>
      </w:r>
    </w:p>
    <w:p w14:paraId="28D646FB" w14:textId="18213FB3" w:rsidR="00B636C5" w:rsidRPr="0099265A" w:rsidRDefault="00A32D8C" w:rsidP="00B636C5">
      <w:pPr>
        <w:pStyle w:val="rptmainbodybullets1"/>
      </w:pPr>
      <w:r>
        <w:t>T</w:t>
      </w:r>
      <w:r w:rsidR="00B636C5" w:rsidRPr="0099265A">
        <w:t xml:space="preserve">he </w:t>
      </w:r>
      <w:r>
        <w:t xml:space="preserve">cost of equity </w:t>
      </w:r>
      <w:r w:rsidR="00B636C5" w:rsidRPr="0099265A">
        <w:t xml:space="preserve">using the </w:t>
      </w:r>
      <w:r w:rsidR="00676CEE">
        <w:t>Capital Asset Pricing Model (“CAPM”)</w:t>
      </w:r>
      <w:r w:rsidR="00B636C5" w:rsidRPr="0099265A">
        <w:t>; and</w:t>
      </w:r>
    </w:p>
    <w:p w14:paraId="3F6DE2DA" w14:textId="24BB7553" w:rsidR="00B636C5" w:rsidRDefault="006370C6" w:rsidP="00B636C5">
      <w:pPr>
        <w:pStyle w:val="rptmainbodybullets1"/>
      </w:pPr>
      <w:r>
        <w:t>An i</w:t>
      </w:r>
      <w:r w:rsidR="00B636C5" w:rsidRPr="0099265A">
        <w:t>nvestor’</w:t>
      </w:r>
      <w:r>
        <w:t>s</w:t>
      </w:r>
      <w:r w:rsidR="00B636C5" w:rsidRPr="0099265A">
        <w:t xml:space="preserve"> cost of debt based on </w:t>
      </w:r>
      <w:r w:rsidR="007852F0">
        <w:t>criteria</w:t>
      </w:r>
      <w:r w:rsidR="00B636C5" w:rsidRPr="0099265A">
        <w:t xml:space="preserve"> employed by </w:t>
      </w:r>
      <w:r w:rsidR="007852F0">
        <w:t xml:space="preserve">credit </w:t>
      </w:r>
      <w:r w:rsidR="00B636C5" w:rsidRPr="0099265A">
        <w:t>rating agencies.</w:t>
      </w:r>
    </w:p>
    <w:p w14:paraId="381F7AF5" w14:textId="03810CDA" w:rsidR="00B636C5" w:rsidRDefault="00D872F7" w:rsidP="00302119">
      <w:pPr>
        <w:pStyle w:val="rptmainbodytext"/>
      </w:pPr>
      <w:r>
        <w:t>In this section, we</w:t>
      </w:r>
      <w:r w:rsidR="008773A7">
        <w:t>:</w:t>
      </w:r>
      <w:r>
        <w:t xml:space="preserve"> (a) summarize how the WACC was estimated under status quo rules</w:t>
      </w:r>
      <w:r w:rsidR="00193A82">
        <w:t xml:space="preserve">, </w:t>
      </w:r>
      <w:r>
        <w:t>i.e., with MOPR in place</w:t>
      </w:r>
      <w:r w:rsidR="00193A82">
        <w:t xml:space="preserve"> (</w:t>
      </w:r>
      <w:r>
        <w:t>subsection</w:t>
      </w:r>
      <w:r w:rsidR="00A06432">
        <w:t xml:space="preserve"> </w:t>
      </w:r>
      <w:r w:rsidR="00A06432">
        <w:fldChar w:fldCharType="begin"/>
      </w:r>
      <w:r w:rsidR="00A06432">
        <w:instrText xml:space="preserve"> REF _Ref85454639 \r \h </w:instrText>
      </w:r>
      <w:r w:rsidR="00A06432">
        <w:fldChar w:fldCharType="separate"/>
      </w:r>
      <w:r w:rsidR="00A06432">
        <w:t>A</w:t>
      </w:r>
      <w:r w:rsidR="00A06432">
        <w:fldChar w:fldCharType="end"/>
      </w:r>
      <w:r w:rsidR="00193A82">
        <w:t>)</w:t>
      </w:r>
      <w:r>
        <w:t xml:space="preserve">, and (b) discuss our methodology and the modeling steps </w:t>
      </w:r>
      <w:r w:rsidR="00043277">
        <w:t>for estimating WACC if MOPR is eliminated (</w:t>
      </w:r>
      <w:r>
        <w:t>subsection</w:t>
      </w:r>
      <w:r w:rsidR="00212DAE">
        <w:t xml:space="preserve"> </w:t>
      </w:r>
      <w:r w:rsidR="00212DAE">
        <w:fldChar w:fldCharType="begin"/>
      </w:r>
      <w:r w:rsidR="00212DAE">
        <w:instrText xml:space="preserve"> REF _Ref85454655 \r \h </w:instrText>
      </w:r>
      <w:r w:rsidR="00212DAE">
        <w:fldChar w:fldCharType="separate"/>
      </w:r>
      <w:r w:rsidR="00212DAE">
        <w:t>B</w:t>
      </w:r>
      <w:r w:rsidR="00212DAE">
        <w:fldChar w:fldCharType="end"/>
      </w:r>
      <w:r w:rsidR="00043277">
        <w:t>)</w:t>
      </w:r>
      <w:r>
        <w:t>.</w:t>
      </w:r>
    </w:p>
    <w:p w14:paraId="379E2C7C" w14:textId="18A17E36" w:rsidR="00624948" w:rsidRDefault="00624948" w:rsidP="00D212EA">
      <w:pPr>
        <w:pStyle w:val="rptmainbodyheading2"/>
        <w:numPr>
          <w:ilvl w:val="1"/>
          <w:numId w:val="42"/>
        </w:numPr>
      </w:pPr>
      <w:bookmarkStart w:id="901" w:name="_Ref85454639"/>
      <w:bookmarkStart w:id="902" w:name="_Ref85454693"/>
      <w:bookmarkStart w:id="903" w:name="_Toc86419522"/>
      <w:r>
        <w:t xml:space="preserve">WACC </w:t>
      </w:r>
      <w:r w:rsidR="00EB3138">
        <w:t>under</w:t>
      </w:r>
      <w:r w:rsidR="00986B9F">
        <w:t xml:space="preserve"> the</w:t>
      </w:r>
      <w:r w:rsidR="00747274">
        <w:t xml:space="preserve"> Status Quo</w:t>
      </w:r>
      <w:r w:rsidR="00137A21">
        <w:t xml:space="preserve"> MOPR</w:t>
      </w:r>
      <w:bookmarkEnd w:id="901"/>
      <w:bookmarkEnd w:id="902"/>
      <w:bookmarkEnd w:id="903"/>
    </w:p>
    <w:p w14:paraId="5C5FFEF2" w14:textId="28C02D1E" w:rsidR="003E0941" w:rsidRDefault="00065DC0" w:rsidP="00302119">
      <w:pPr>
        <w:pStyle w:val="rptmainbodytext"/>
      </w:pPr>
      <w:r>
        <w:t xml:space="preserve">The ISO recently </w:t>
      </w:r>
      <w:r w:rsidR="007B15AC">
        <w:t xml:space="preserve">estimated </w:t>
      </w:r>
      <w:r w:rsidR="00DC6C9C">
        <w:t xml:space="preserve">the </w:t>
      </w:r>
      <w:r w:rsidR="007871D5">
        <w:t xml:space="preserve">cost </w:t>
      </w:r>
      <w:r w:rsidR="00DC6C9C">
        <w:t xml:space="preserve">of capital </w:t>
      </w:r>
      <w:r>
        <w:t xml:space="preserve">parameters </w:t>
      </w:r>
      <w:r w:rsidR="000F29A1">
        <w:t xml:space="preserve">as part of </w:t>
      </w:r>
      <w:r w:rsidR="007871D5">
        <w:t>its</w:t>
      </w:r>
      <w:r>
        <w:t xml:space="preserve"> </w:t>
      </w:r>
      <w:r w:rsidR="003400A6">
        <w:t>estimat</w:t>
      </w:r>
      <w:r w:rsidR="000F29A1">
        <w:t>es for</w:t>
      </w:r>
      <w:r>
        <w:t xml:space="preserve"> the Net CONE </w:t>
      </w:r>
      <w:r w:rsidR="00F75294">
        <w:t xml:space="preserve">of the reference unit </w:t>
      </w:r>
      <w:r w:rsidR="000F29A1">
        <w:t>for</w:t>
      </w:r>
      <w:r w:rsidR="00F75294">
        <w:t xml:space="preserve"> FCA-16.  The consultants estimated a COE of 13 percent, </w:t>
      </w:r>
      <w:r w:rsidR="004B5C44">
        <w:t xml:space="preserve">a </w:t>
      </w:r>
      <w:r w:rsidR="00F75294">
        <w:t>C</w:t>
      </w:r>
      <w:r w:rsidR="0002408B">
        <w:t xml:space="preserve">OD of 6 percent, and </w:t>
      </w:r>
      <w:r w:rsidR="004B5C44">
        <w:t xml:space="preserve">a </w:t>
      </w:r>
      <w:r w:rsidR="0002408B">
        <w:t xml:space="preserve">debt ratio of 55 percent for a new </w:t>
      </w:r>
      <w:r w:rsidR="004B5C44">
        <w:t xml:space="preserve">merchant </w:t>
      </w:r>
      <w:r w:rsidR="0002408B">
        <w:t xml:space="preserve">entrant in the ISO-NE control area.  </w:t>
      </w:r>
      <w:r w:rsidR="00520935">
        <w:t xml:space="preserve">The study </w:t>
      </w:r>
      <w:r w:rsidR="00A1098F">
        <w:t xml:space="preserve">was conducted in 2020 </w:t>
      </w:r>
      <w:r w:rsidR="009A3066">
        <w:t>based on a review of historic data</w:t>
      </w:r>
      <w:r w:rsidR="00104807">
        <w:t xml:space="preserve"> and</w:t>
      </w:r>
      <w:r w:rsidR="00520935">
        <w:t xml:space="preserve"> </w:t>
      </w:r>
      <w:r w:rsidR="003D6159">
        <w:t xml:space="preserve">prevailing </w:t>
      </w:r>
      <w:r w:rsidR="00104807">
        <w:t xml:space="preserve">financial </w:t>
      </w:r>
      <w:r w:rsidR="003D6159">
        <w:t>market conditions</w:t>
      </w:r>
      <w:r w:rsidR="00BF5336">
        <w:t xml:space="preserve">.  </w:t>
      </w:r>
      <w:r w:rsidR="008D2042">
        <w:t>Accordingly</w:t>
      </w:r>
      <w:r w:rsidR="00F43C9A">
        <w:t>,</w:t>
      </w:r>
      <w:r w:rsidR="00633130">
        <w:t xml:space="preserve"> </w:t>
      </w:r>
      <w:r w:rsidR="00F43C9A">
        <w:t xml:space="preserve">the WACC </w:t>
      </w:r>
      <w:r w:rsidR="008D2042">
        <w:t xml:space="preserve">developed </w:t>
      </w:r>
      <w:r w:rsidR="00597501">
        <w:t>as part of the</w:t>
      </w:r>
      <w:r w:rsidR="00E31DD6">
        <w:t xml:space="preserve"> 2020</w:t>
      </w:r>
      <w:r w:rsidR="00597501">
        <w:t xml:space="preserve"> CONE study</w:t>
      </w:r>
      <w:r w:rsidR="00215466">
        <w:t xml:space="preserve"> </w:t>
      </w:r>
      <w:r w:rsidR="00257B2C">
        <w:t>reflects the existence of the current MOPR provisions</w:t>
      </w:r>
      <w:r w:rsidR="00597501">
        <w:t>.</w:t>
      </w:r>
    </w:p>
    <w:p w14:paraId="164A8ED3" w14:textId="2A77A67C" w:rsidR="00597501" w:rsidRDefault="00597501" w:rsidP="00302119">
      <w:pPr>
        <w:pStyle w:val="rptmainbodytext"/>
      </w:pPr>
      <w:r>
        <w:t>The consultants estimated the WACC parameters in the CONE study in the following manner:</w:t>
      </w:r>
      <w:r w:rsidR="00931074">
        <w:rPr>
          <w:rStyle w:val="FootnoteReference"/>
          <w:lang w:eastAsia="zh-CN"/>
        </w:rPr>
        <w:footnoteReference w:id="5"/>
      </w:r>
    </w:p>
    <w:p w14:paraId="3379E306" w14:textId="2E1191D5" w:rsidR="00597501" w:rsidRDefault="00597501" w:rsidP="00484E2F">
      <w:pPr>
        <w:pStyle w:val="rptmainbodybullets1"/>
      </w:pPr>
      <w:r>
        <w:t xml:space="preserve">The COE was </w:t>
      </w:r>
      <w:r w:rsidR="001538E4">
        <w:t>estimated</w:t>
      </w:r>
      <w:r>
        <w:t xml:space="preserve"> </w:t>
      </w:r>
      <w:r w:rsidR="001538E4">
        <w:t xml:space="preserve">using </w:t>
      </w:r>
      <w:r w:rsidR="00B90646">
        <w:t xml:space="preserve">the </w:t>
      </w:r>
      <w:r w:rsidR="009E0DC4">
        <w:t xml:space="preserve">results of the </w:t>
      </w:r>
      <w:r w:rsidR="00676CEE">
        <w:t>CAPM</w:t>
      </w:r>
      <w:r>
        <w:t xml:space="preserve"> </w:t>
      </w:r>
      <w:r w:rsidR="0040634E">
        <w:t xml:space="preserve">that considered the historical returns on equity </w:t>
      </w:r>
      <w:r w:rsidR="003B3CB0">
        <w:t>for a peer group of</w:t>
      </w:r>
      <w:r w:rsidR="00F64017">
        <w:t xml:space="preserve"> IPPs</w:t>
      </w:r>
      <w:r w:rsidR="00041705">
        <w:t>.</w:t>
      </w:r>
      <w:r w:rsidR="00F64017">
        <w:t xml:space="preserve"> </w:t>
      </w:r>
    </w:p>
    <w:p w14:paraId="1A1832E0" w14:textId="28D319B1" w:rsidR="00407EE8" w:rsidRDefault="00407EE8" w:rsidP="00484E2F">
      <w:pPr>
        <w:pStyle w:val="rptmainbodybullets1"/>
      </w:pPr>
      <w:r>
        <w:t xml:space="preserve">The COD was </w:t>
      </w:r>
      <w:r w:rsidR="001538E4">
        <w:t xml:space="preserve">determined based on </w:t>
      </w:r>
      <w:r w:rsidR="00CC58F6">
        <w:t xml:space="preserve">a review of </w:t>
      </w:r>
      <w:r w:rsidR="00D160D8">
        <w:t xml:space="preserve">debt ratings </w:t>
      </w:r>
      <w:r w:rsidR="005A1C52">
        <w:t xml:space="preserve">of IPPs </w:t>
      </w:r>
      <w:r w:rsidR="00D160D8">
        <w:t xml:space="preserve">and historical </w:t>
      </w:r>
      <w:r w:rsidR="00421558">
        <w:t xml:space="preserve">bond yields for B and BB rated </w:t>
      </w:r>
      <w:r w:rsidR="00B67906">
        <w:t>companies</w:t>
      </w:r>
      <w:r w:rsidR="00041705">
        <w:t>.</w:t>
      </w:r>
    </w:p>
    <w:p w14:paraId="4674489E" w14:textId="3A0D33BE" w:rsidR="00407EE8" w:rsidRDefault="008E27C7" w:rsidP="00484E2F">
      <w:pPr>
        <w:pStyle w:val="rptmainbodybullets1"/>
      </w:pPr>
      <w:r>
        <w:t xml:space="preserve">The leverage </w:t>
      </w:r>
      <w:r w:rsidR="00407EE8">
        <w:t xml:space="preserve">ratio was estimated </w:t>
      </w:r>
      <w:r>
        <w:t xml:space="preserve">based on a review of </w:t>
      </w:r>
      <w:r w:rsidR="004A2084">
        <w:t xml:space="preserve">the capital structure of </w:t>
      </w:r>
      <w:r w:rsidR="00A642C0">
        <w:t xml:space="preserve">a peer group of companies </w:t>
      </w:r>
      <w:r w:rsidR="00FF161C">
        <w:t>over a historical period.</w:t>
      </w:r>
    </w:p>
    <w:p w14:paraId="22CCC9AC" w14:textId="211E4813" w:rsidR="00302119" w:rsidRDefault="00324FA9" w:rsidP="000A64E8">
      <w:pPr>
        <w:pStyle w:val="rptmainbodyheading2"/>
        <w:numPr>
          <w:ilvl w:val="1"/>
          <w:numId w:val="38"/>
        </w:numPr>
      </w:pPr>
      <w:bookmarkStart w:id="904" w:name="_Toc84420104"/>
      <w:bookmarkStart w:id="905" w:name="_Toc85845723"/>
      <w:bookmarkStart w:id="906" w:name="_Toc86051046"/>
      <w:bookmarkStart w:id="907" w:name="_Toc86064440"/>
      <w:bookmarkStart w:id="908" w:name="_Toc86064458"/>
      <w:bookmarkStart w:id="909" w:name="_Toc86064476"/>
      <w:bookmarkStart w:id="910" w:name="_Toc86066119"/>
      <w:bookmarkStart w:id="911" w:name="_Toc86318098"/>
      <w:bookmarkStart w:id="912" w:name="_Ref85454655"/>
      <w:bookmarkStart w:id="913" w:name="_Ref85455386"/>
      <w:bookmarkStart w:id="914" w:name="_Ref85456720"/>
      <w:bookmarkStart w:id="915" w:name="_Ref85456831"/>
      <w:bookmarkStart w:id="916" w:name="_Ref85456900"/>
      <w:bookmarkStart w:id="917" w:name="_Toc86419523"/>
      <w:bookmarkEnd w:id="904"/>
      <w:bookmarkEnd w:id="905"/>
      <w:bookmarkEnd w:id="906"/>
      <w:bookmarkEnd w:id="907"/>
      <w:bookmarkEnd w:id="908"/>
      <w:bookmarkEnd w:id="909"/>
      <w:bookmarkEnd w:id="910"/>
      <w:bookmarkEnd w:id="911"/>
      <w:r>
        <w:lastRenderedPageBreak/>
        <w:t>Estimat</w:t>
      </w:r>
      <w:r w:rsidR="00C00C0F">
        <w:t xml:space="preserve">ed Impact </w:t>
      </w:r>
      <w:r w:rsidR="00957C64">
        <w:t xml:space="preserve">of </w:t>
      </w:r>
      <w:r>
        <w:t>MOPR</w:t>
      </w:r>
      <w:r w:rsidR="00747274">
        <w:t xml:space="preserve"> Eliminat</w:t>
      </w:r>
      <w:r w:rsidR="00C00C0F">
        <w:t>ion on the WACC</w:t>
      </w:r>
      <w:bookmarkEnd w:id="912"/>
      <w:bookmarkEnd w:id="913"/>
      <w:bookmarkEnd w:id="914"/>
      <w:bookmarkEnd w:id="915"/>
      <w:bookmarkEnd w:id="916"/>
      <w:bookmarkEnd w:id="917"/>
    </w:p>
    <w:p w14:paraId="2EB6BCBF" w14:textId="0ADFFDEB" w:rsidR="003A50B7" w:rsidRDefault="006F799F" w:rsidP="00302119">
      <w:pPr>
        <w:pStyle w:val="rptmainbodytext"/>
      </w:pPr>
      <w:r>
        <w:t xml:space="preserve">As noted </w:t>
      </w:r>
      <w:r w:rsidR="000712FE">
        <w:t>in the introduction to this section</w:t>
      </w:r>
      <w:r>
        <w:t>, t</w:t>
      </w:r>
      <w:r w:rsidRPr="00E13B26">
        <w:t xml:space="preserve">here are no </w:t>
      </w:r>
      <w:r w:rsidR="00105267">
        <w:t xml:space="preserve">available </w:t>
      </w:r>
      <w:r w:rsidRPr="00E13B26">
        <w:t xml:space="preserve">historic comparables for a competitive power market that motivates merchant new entry without </w:t>
      </w:r>
      <w:r w:rsidR="00F23C3F">
        <w:t xml:space="preserve">a </w:t>
      </w:r>
      <w:r w:rsidRPr="00E13B26">
        <w:t>MOPR</w:t>
      </w:r>
      <w:r>
        <w:t xml:space="preserve">.  </w:t>
      </w:r>
      <w:r w:rsidR="00D872F7">
        <w:t>Accordingly</w:t>
      </w:r>
      <w:r>
        <w:t>, a</w:t>
      </w:r>
      <w:r w:rsidR="00D34C8B">
        <w:t xml:space="preserve"> new </w:t>
      </w:r>
      <w:r>
        <w:t xml:space="preserve">approach </w:t>
      </w:r>
      <w:r w:rsidR="00A046C7">
        <w:t xml:space="preserve">is </w:t>
      </w:r>
      <w:r w:rsidR="00F23C3F">
        <w:t xml:space="preserve">needed </w:t>
      </w:r>
      <w:r>
        <w:t>for estimating</w:t>
      </w:r>
      <w:r w:rsidR="00F23C3F">
        <w:t xml:space="preserve"> the</w:t>
      </w:r>
      <w:r>
        <w:t xml:space="preserve"> </w:t>
      </w:r>
      <w:r w:rsidR="00040B3E">
        <w:t>effect</w:t>
      </w:r>
      <w:r w:rsidR="00C34EA2">
        <w:t xml:space="preserve"> on the </w:t>
      </w:r>
      <w:r>
        <w:t xml:space="preserve">WACC </w:t>
      </w:r>
      <w:r w:rsidR="003E1B36">
        <w:t xml:space="preserve">for new entrants </w:t>
      </w:r>
      <w:r w:rsidR="00C34EA2">
        <w:t xml:space="preserve">of eliminating the application of the </w:t>
      </w:r>
      <w:r>
        <w:t>MOPR</w:t>
      </w:r>
      <w:r w:rsidR="00D872F7">
        <w:t xml:space="preserve"> provisions</w:t>
      </w:r>
      <w:r w:rsidR="00C34EA2">
        <w:t xml:space="preserve"> to public policy resources</w:t>
      </w:r>
      <w:r w:rsidR="00FC328B">
        <w:t xml:space="preserve">.  </w:t>
      </w:r>
    </w:p>
    <w:p w14:paraId="3F14D3EF" w14:textId="42BBA038" w:rsidR="00E41305" w:rsidRDefault="00A046C7" w:rsidP="000961F8">
      <w:pPr>
        <w:pStyle w:val="rptmainbodytext"/>
      </w:pPr>
      <w:r>
        <w:t>O</w:t>
      </w:r>
      <w:r w:rsidR="00FC328B">
        <w:t>ur approach</w:t>
      </w:r>
      <w:r w:rsidR="006F799F">
        <w:t xml:space="preserve"> </w:t>
      </w:r>
      <w:r w:rsidR="00DA4122">
        <w:t xml:space="preserve">relies on </w:t>
      </w:r>
      <w:r w:rsidR="00CA324B">
        <w:t xml:space="preserve">quantifying </w:t>
      </w:r>
      <w:r w:rsidR="00462E74">
        <w:t xml:space="preserve">the </w:t>
      </w:r>
      <w:r w:rsidR="00462E74" w:rsidRPr="00D212EA">
        <w:rPr>
          <w:i/>
          <w:iCs/>
        </w:rPr>
        <w:t>change</w:t>
      </w:r>
      <w:r w:rsidR="00462E74">
        <w:t xml:space="preserve"> in </w:t>
      </w:r>
      <w:r>
        <w:t>revenue</w:t>
      </w:r>
      <w:r w:rsidR="00A67C56">
        <w:t xml:space="preserve"> volatility for</w:t>
      </w:r>
      <w:r>
        <w:t xml:space="preserve"> the reference unit </w:t>
      </w:r>
      <w:r w:rsidR="00863D46">
        <w:t>(</w:t>
      </w:r>
      <w:r w:rsidR="000A64D0">
        <w:t>under long-term equilibrium conditions</w:t>
      </w:r>
      <w:r w:rsidR="00863D46">
        <w:t>)</w:t>
      </w:r>
      <w:r w:rsidR="00CD3379">
        <w:t xml:space="preserve"> </w:t>
      </w:r>
      <w:r w:rsidR="00B72E31">
        <w:t xml:space="preserve">between </w:t>
      </w:r>
      <w:r w:rsidR="00462E74">
        <w:t>the following two cases:</w:t>
      </w:r>
      <w:r w:rsidR="007C1F14">
        <w:t xml:space="preserve"> (a) </w:t>
      </w:r>
      <w:r w:rsidR="007C1F14" w:rsidRPr="007C1F14">
        <w:t xml:space="preserve">the status quo </w:t>
      </w:r>
      <w:r w:rsidR="00E10CE8">
        <w:t xml:space="preserve">with the </w:t>
      </w:r>
      <w:r w:rsidR="007C1F14" w:rsidRPr="007C1F14">
        <w:t>MOPR rules</w:t>
      </w:r>
      <w:r w:rsidR="007C1F14">
        <w:t xml:space="preserve">, </w:t>
      </w:r>
      <w:r w:rsidR="00B764A4">
        <w:t>and (b) a</w:t>
      </w:r>
      <w:r w:rsidR="00B764A4" w:rsidRPr="00B764A4">
        <w:t>fter elimination of MOPR rules</w:t>
      </w:r>
      <w:r w:rsidR="00B764A4">
        <w:t>.</w:t>
      </w:r>
      <w:r w:rsidR="00C95525">
        <w:t xml:space="preserve">  </w:t>
      </w:r>
      <w:r w:rsidR="00D476BB">
        <w:t xml:space="preserve">We use Monte Carlo techniques to </w:t>
      </w:r>
      <w:r>
        <w:t xml:space="preserve">estimate </w:t>
      </w:r>
      <w:r w:rsidR="00AD35FA">
        <w:t>the</w:t>
      </w:r>
      <w:r>
        <w:t xml:space="preserve"> distribution of</w:t>
      </w:r>
      <w:r w:rsidR="00104315">
        <w:t xml:space="preserve"> </w:t>
      </w:r>
      <w:r w:rsidR="00D476BB">
        <w:t xml:space="preserve">revenues </w:t>
      </w:r>
      <w:r w:rsidR="00AD35FA">
        <w:t>for</w:t>
      </w:r>
      <w:r w:rsidR="00D476BB">
        <w:t xml:space="preserve"> the reference unit </w:t>
      </w:r>
      <w:r w:rsidR="00104315">
        <w:t xml:space="preserve">in </w:t>
      </w:r>
      <w:r w:rsidR="00D476BB">
        <w:t xml:space="preserve">each of the </w:t>
      </w:r>
      <w:r w:rsidR="00682A79">
        <w:t xml:space="preserve">two </w:t>
      </w:r>
      <w:r w:rsidR="00104315">
        <w:t>cases</w:t>
      </w:r>
      <w:r w:rsidR="00682A79">
        <w:t xml:space="preserve"> above</w:t>
      </w:r>
      <w:r w:rsidR="00104315">
        <w:t>.</w:t>
      </w:r>
      <w:r w:rsidR="00070940">
        <w:t xml:space="preserve">  The policy assumption</w:t>
      </w:r>
      <w:r w:rsidR="008335AE">
        <w:t xml:space="preserve">s and other supply and demand inputs are identical between the two cases, so this approach isolates the effect of the </w:t>
      </w:r>
      <w:r w:rsidR="007A701C">
        <w:t xml:space="preserve">MOPR </w:t>
      </w:r>
      <w:r w:rsidR="008335AE">
        <w:t>rule change on price formation.</w:t>
      </w:r>
      <w:r w:rsidR="00104315">
        <w:t xml:space="preserve">  </w:t>
      </w:r>
      <w:r w:rsidR="00A16D4B">
        <w:t>C</w:t>
      </w:r>
      <w:r w:rsidR="00104315">
        <w:t>hange</w:t>
      </w:r>
      <w:r w:rsidR="00A16D4B">
        <w:t xml:space="preserve">s in the </w:t>
      </w:r>
      <w:r w:rsidR="00104315">
        <w:t xml:space="preserve">volatility </w:t>
      </w:r>
      <w:r w:rsidR="00E31515">
        <w:t xml:space="preserve">of the </w:t>
      </w:r>
      <w:r w:rsidR="00F859D1">
        <w:t xml:space="preserve">revenue </w:t>
      </w:r>
      <w:r w:rsidR="00E31515">
        <w:t>distribution</w:t>
      </w:r>
      <w:r w:rsidR="001A5794">
        <w:t xml:space="preserve"> </w:t>
      </w:r>
      <w:r w:rsidR="00F859D1">
        <w:t>imply that</w:t>
      </w:r>
      <w:r w:rsidR="007F5FBD">
        <w:t xml:space="preserve"> the</w:t>
      </w:r>
      <w:r w:rsidR="007E212F">
        <w:t xml:space="preserve"> COE and COD</w:t>
      </w:r>
      <w:r w:rsidR="002819A4">
        <w:t xml:space="preserve"> should also change.  We</w:t>
      </w:r>
      <w:r w:rsidR="007E212F">
        <w:t xml:space="preserve"> </w:t>
      </w:r>
      <w:r w:rsidR="00C76544">
        <w:t>us</w:t>
      </w:r>
      <w:r w:rsidR="002819A4">
        <w:t>e</w:t>
      </w:r>
      <w:r w:rsidR="000961F8">
        <w:t xml:space="preserve"> </w:t>
      </w:r>
      <w:r w:rsidR="009E0168">
        <w:t>CAPM</w:t>
      </w:r>
      <w:r w:rsidR="00E41305" w:rsidRPr="0099265A">
        <w:t xml:space="preserve"> and</w:t>
      </w:r>
      <w:r w:rsidR="000961F8">
        <w:t xml:space="preserve"> </w:t>
      </w:r>
      <w:r w:rsidR="00E41305">
        <w:t>criteria</w:t>
      </w:r>
      <w:r w:rsidR="00E41305" w:rsidRPr="0099265A">
        <w:t xml:space="preserve"> employed by the </w:t>
      </w:r>
      <w:r w:rsidR="00E41305">
        <w:t xml:space="preserve">credit </w:t>
      </w:r>
      <w:r w:rsidR="00E41305" w:rsidRPr="0099265A">
        <w:t>ratings agencies</w:t>
      </w:r>
      <w:r w:rsidR="002819A4">
        <w:t xml:space="preserve"> to quantify the changes in </w:t>
      </w:r>
      <w:r w:rsidR="001F4E9D">
        <w:t xml:space="preserve">the </w:t>
      </w:r>
      <w:r w:rsidR="002819A4">
        <w:t>COE and COD</w:t>
      </w:r>
      <w:r w:rsidR="00E41305" w:rsidRPr="0099265A">
        <w:t>.</w:t>
      </w:r>
    </w:p>
    <w:p w14:paraId="66FE528B" w14:textId="3BFBB4C4" w:rsidR="00FB6797" w:rsidRDefault="00382560" w:rsidP="00302119">
      <w:pPr>
        <w:pStyle w:val="rptmainbodytext"/>
      </w:pPr>
      <w:r>
        <w:t>We describe</w:t>
      </w:r>
      <w:r w:rsidR="009360D1">
        <w:t xml:space="preserve"> the </w:t>
      </w:r>
      <w:r w:rsidR="00BC05BE">
        <w:t>theory underlying our methodology for estimating the change in COE and COD</w:t>
      </w:r>
      <w:r w:rsidR="0054747B">
        <w:t xml:space="preserve"> </w:t>
      </w:r>
      <w:r w:rsidR="00C27D00">
        <w:t xml:space="preserve">in subsections </w:t>
      </w:r>
      <w:r w:rsidR="00C27D00">
        <w:fldChar w:fldCharType="begin"/>
      </w:r>
      <w:r w:rsidR="00C27D00">
        <w:instrText xml:space="preserve"> REF _Ref85455389 \r \h </w:instrText>
      </w:r>
      <w:r w:rsidR="00C27D00">
        <w:fldChar w:fldCharType="separate"/>
      </w:r>
      <w:r w:rsidR="00C27D00">
        <w:t>1</w:t>
      </w:r>
      <w:r w:rsidR="00C27D00">
        <w:fldChar w:fldCharType="end"/>
      </w:r>
      <w:r w:rsidR="00C27D00">
        <w:t xml:space="preserve"> and </w:t>
      </w:r>
      <w:r w:rsidR="00C27D00">
        <w:fldChar w:fldCharType="begin"/>
      </w:r>
      <w:r w:rsidR="00C27D00">
        <w:instrText xml:space="preserve"> REF _Ref85535105 \r \h </w:instrText>
      </w:r>
      <w:r w:rsidR="00C27D00">
        <w:fldChar w:fldCharType="separate"/>
      </w:r>
      <w:r w:rsidR="00C27D00">
        <w:t>2</w:t>
      </w:r>
      <w:r w:rsidR="00C27D00">
        <w:fldChar w:fldCharType="end"/>
      </w:r>
      <w:r w:rsidR="00C27D00">
        <w:t xml:space="preserve"> </w:t>
      </w:r>
      <w:r w:rsidR="0054747B">
        <w:t>below</w:t>
      </w:r>
      <w:r>
        <w:t xml:space="preserve">.  </w:t>
      </w:r>
      <w:r w:rsidR="00C27D00">
        <w:t>S</w:t>
      </w:r>
      <w:r>
        <w:t>ubsection</w:t>
      </w:r>
      <w:r w:rsidR="006B4866">
        <w:t xml:space="preserve"> </w:t>
      </w:r>
      <w:r w:rsidR="00C27D00">
        <w:fldChar w:fldCharType="begin"/>
      </w:r>
      <w:r w:rsidR="00C27D00">
        <w:instrText xml:space="preserve"> REF _Ref85456725 \r \h </w:instrText>
      </w:r>
      <w:r w:rsidR="00C27D00">
        <w:fldChar w:fldCharType="separate"/>
      </w:r>
      <w:r w:rsidR="00C27D00">
        <w:t>3</w:t>
      </w:r>
      <w:r w:rsidR="00C27D00">
        <w:fldChar w:fldCharType="end"/>
      </w:r>
      <w:r w:rsidR="00C27D00">
        <w:t xml:space="preserve"> </w:t>
      </w:r>
      <w:r w:rsidR="006B4866">
        <w:t>describes</w:t>
      </w:r>
      <w:r>
        <w:t xml:space="preserve"> each of the </w:t>
      </w:r>
      <w:r w:rsidR="00AA6854">
        <w:t xml:space="preserve">modeling </w:t>
      </w:r>
      <w:r>
        <w:t>steps involved in estimating the change in</w:t>
      </w:r>
      <w:r w:rsidR="00A00751">
        <w:t xml:space="preserve"> the</w:t>
      </w:r>
      <w:r>
        <w:t xml:space="preserve"> WACC </w:t>
      </w:r>
      <w:r w:rsidR="007D32BB">
        <w:t>that would result from</w:t>
      </w:r>
      <w:r>
        <w:t xml:space="preserve"> eliminating </w:t>
      </w:r>
      <w:r w:rsidR="007D32BB">
        <w:t xml:space="preserve">the </w:t>
      </w:r>
      <w:r>
        <w:t xml:space="preserve">MOPR. </w:t>
      </w:r>
    </w:p>
    <w:p w14:paraId="583E3EFC" w14:textId="7935C364" w:rsidR="00D81C61" w:rsidRDefault="00EA2C75" w:rsidP="009B2B54">
      <w:pPr>
        <w:pStyle w:val="rptmainbodyheading3"/>
      </w:pPr>
      <w:bookmarkStart w:id="918" w:name="_Ref85455389"/>
      <w:r>
        <w:t xml:space="preserve">Revenue </w:t>
      </w:r>
      <w:r w:rsidR="008A32D4">
        <w:t>Volatility and Cost of Equity</w:t>
      </w:r>
      <w:bookmarkEnd w:id="918"/>
    </w:p>
    <w:p w14:paraId="0AEA28CC" w14:textId="77777777" w:rsidR="000A2063" w:rsidRDefault="0025536D" w:rsidP="00302119">
      <w:pPr>
        <w:pStyle w:val="rptmainbodytext"/>
      </w:pPr>
      <w:r>
        <w:t>As discussed in subsection</w:t>
      </w:r>
      <w:r w:rsidR="00212DAE">
        <w:t xml:space="preserve"> </w:t>
      </w:r>
      <w:r w:rsidR="00212DAE">
        <w:fldChar w:fldCharType="begin"/>
      </w:r>
      <w:r w:rsidR="00212DAE">
        <w:instrText xml:space="preserve"> REF _Ref85454693 \r \h </w:instrText>
      </w:r>
      <w:r w:rsidR="00212DAE">
        <w:fldChar w:fldCharType="separate"/>
      </w:r>
      <w:r w:rsidR="00212DAE">
        <w:t>A</w:t>
      </w:r>
      <w:r w:rsidR="00212DAE">
        <w:fldChar w:fldCharType="end"/>
      </w:r>
      <w:r>
        <w:t xml:space="preserve">, </w:t>
      </w:r>
      <w:r w:rsidR="0019050E">
        <w:t xml:space="preserve">the </w:t>
      </w:r>
      <w:r w:rsidR="0019050E" w:rsidRPr="00C44292">
        <w:t>Capital Asset Pricing Model (“CAPM”)</w:t>
      </w:r>
      <w:r w:rsidR="0019050E">
        <w:t xml:space="preserve"> </w:t>
      </w:r>
      <w:r w:rsidR="008E20BF">
        <w:t>w</w:t>
      </w:r>
      <w:r w:rsidR="00573E81">
        <w:t>as</w:t>
      </w:r>
      <w:r w:rsidR="008E20BF">
        <w:t xml:space="preserve"> </w:t>
      </w:r>
      <w:r w:rsidR="00573E81">
        <w:t xml:space="preserve">used </w:t>
      </w:r>
      <w:r w:rsidR="00FB4BF8">
        <w:t xml:space="preserve">in the CONE study </w:t>
      </w:r>
      <w:r w:rsidR="00573E81">
        <w:t>to estimate</w:t>
      </w:r>
      <w:r w:rsidR="008E20BF">
        <w:t xml:space="preserve"> the </w:t>
      </w:r>
      <w:r>
        <w:t>COE</w:t>
      </w:r>
      <w:r w:rsidR="00E57FA2">
        <w:t xml:space="preserve">, </w:t>
      </w:r>
      <w:r w:rsidR="00D82D5C">
        <w:t>and we adopted thi</w:t>
      </w:r>
      <w:r w:rsidR="004C6E47">
        <w:t>s value</w:t>
      </w:r>
      <w:r w:rsidR="00E57FA2">
        <w:t xml:space="preserve"> </w:t>
      </w:r>
      <w:r w:rsidR="0019050E">
        <w:t>in the MOPR</w:t>
      </w:r>
      <w:r w:rsidR="008E20BF">
        <w:t xml:space="preserve"> case.  </w:t>
      </w:r>
      <w:r w:rsidR="00D62724">
        <w:t xml:space="preserve">In </w:t>
      </w:r>
      <w:r w:rsidR="00CF17D0">
        <w:t>the CAPM</w:t>
      </w:r>
      <w:r w:rsidR="00276ED8">
        <w:t xml:space="preserve"> framework</w:t>
      </w:r>
      <w:r w:rsidR="00CF17D0">
        <w:t>,</w:t>
      </w:r>
      <w:r w:rsidR="00C44292">
        <w:t xml:space="preserve"> </w:t>
      </w:r>
      <w:r w:rsidR="00ED40B9">
        <w:t xml:space="preserve">investors require a higher return on equity from an asset whose returns </w:t>
      </w:r>
      <w:r w:rsidR="00A23237">
        <w:t>are more volatile relative to an asset whose returns are less volatile</w:t>
      </w:r>
      <w:r w:rsidR="00265D30">
        <w:t>,</w:t>
      </w:r>
      <w:r w:rsidR="00A23237">
        <w:t xml:space="preserve"> even if the</w:t>
      </w:r>
      <w:r w:rsidR="001D5C7D">
        <w:t xml:space="preserve"> expected</w:t>
      </w:r>
      <w:r w:rsidR="00A23237">
        <w:t xml:space="preserve"> average return from both assets is the same.</w:t>
      </w:r>
      <w:r w:rsidR="00265D30">
        <w:t xml:space="preserve">  </w:t>
      </w:r>
      <w:r w:rsidR="00E20354">
        <w:t>Specifically, t</w:t>
      </w:r>
      <w:r w:rsidR="00E20354" w:rsidRPr="00E20354">
        <w:t xml:space="preserve">he </w:t>
      </w:r>
      <w:r w:rsidR="00E20354">
        <w:t>CAPM framework</w:t>
      </w:r>
      <w:r w:rsidR="00385F8B">
        <w:t xml:space="preserve"> implies that</w:t>
      </w:r>
      <w:r w:rsidR="002B4353">
        <w:t xml:space="preserve">, all else being equal, the return on equity required by investors </w:t>
      </w:r>
      <w:r w:rsidR="00FB4473">
        <w:t>varies in direct</w:t>
      </w:r>
      <w:r w:rsidR="002B4353">
        <w:t xml:space="preserve"> proportion to the volatility of returns on the asset (as measured by the standard deviation of returns).</w:t>
      </w:r>
      <w:r w:rsidR="002B4353">
        <w:rPr>
          <w:rStyle w:val="FootnoteReference"/>
        </w:rPr>
        <w:footnoteReference w:id="6"/>
      </w:r>
      <w:r w:rsidR="00E20354" w:rsidRPr="00E20354">
        <w:t> </w:t>
      </w:r>
      <w:r w:rsidR="00F62EF5">
        <w:t xml:space="preserve"> </w:t>
      </w:r>
    </w:p>
    <w:p w14:paraId="5CDF351C" w14:textId="0149E531" w:rsidR="00036BC4" w:rsidRDefault="00CF04DC" w:rsidP="00D212EA">
      <w:pPr>
        <w:pStyle w:val="rptmainbodytext"/>
        <w:keepNext/>
      </w:pPr>
      <w:r>
        <w:lastRenderedPageBreak/>
        <w:t>Thus, we</w:t>
      </w:r>
      <w:r w:rsidR="00036BC4">
        <w:t xml:space="preserve"> esti</w:t>
      </w:r>
      <w:r w:rsidR="00B84444">
        <w:t xml:space="preserve">mate the </w:t>
      </w:r>
      <w:r w:rsidR="001A78FA">
        <w:t>COE in the No MOPR case in the following manner:</w:t>
      </w:r>
    </w:p>
    <w:p w14:paraId="3069BAC6" w14:textId="4896FD91" w:rsidR="005557AF" w:rsidRDefault="005557AF" w:rsidP="001A78FA">
      <w:pPr>
        <w:pStyle w:val="rptmainbodytext"/>
        <w:ind w:firstLine="720"/>
        <w:rPr>
          <w:i/>
          <w:iCs/>
        </w:rPr>
      </w:pPr>
      <w:r w:rsidRPr="008373E8">
        <w:rPr>
          <w:i/>
          <w:iCs/>
        </w:rPr>
        <w:t>COE</w:t>
      </w:r>
      <w:r w:rsidRPr="008373E8">
        <w:rPr>
          <w:i/>
          <w:iCs/>
          <w:vertAlign w:val="subscript"/>
        </w:rPr>
        <w:t>NoMOPR</w:t>
      </w:r>
      <w:r w:rsidRPr="008373E8">
        <w:rPr>
          <w:i/>
          <w:iCs/>
        </w:rPr>
        <w:t xml:space="preserve"> = COE</w:t>
      </w:r>
      <w:r w:rsidRPr="008373E8">
        <w:rPr>
          <w:i/>
          <w:iCs/>
          <w:vertAlign w:val="subscript"/>
        </w:rPr>
        <w:t>Reg</w:t>
      </w:r>
      <w:r w:rsidRPr="008373E8">
        <w:rPr>
          <w:i/>
          <w:iCs/>
        </w:rPr>
        <w:t xml:space="preserve"> + COE</w:t>
      </w:r>
      <w:r>
        <w:rPr>
          <w:i/>
          <w:iCs/>
          <w:vertAlign w:val="subscript"/>
        </w:rPr>
        <w:t>NoM</w:t>
      </w:r>
      <w:r w:rsidRPr="008373E8">
        <w:rPr>
          <w:i/>
          <w:iCs/>
          <w:vertAlign w:val="subscript"/>
        </w:rPr>
        <w:t>OPR-P</w:t>
      </w:r>
      <w:r w:rsidRPr="008373E8">
        <w:rPr>
          <w:i/>
          <w:iCs/>
        </w:rPr>
        <w:t xml:space="preserve"> </w:t>
      </w:r>
    </w:p>
    <w:p w14:paraId="6DB29590" w14:textId="565C5D07" w:rsidR="00AC22E0" w:rsidRPr="008373E8" w:rsidRDefault="001A78FA" w:rsidP="001A78FA">
      <w:pPr>
        <w:pStyle w:val="rptmainbodytext"/>
        <w:ind w:firstLine="720"/>
        <w:rPr>
          <w:i/>
          <w:iCs/>
        </w:rPr>
      </w:pPr>
      <w:r w:rsidRPr="008373E8">
        <w:rPr>
          <w:i/>
          <w:iCs/>
        </w:rPr>
        <w:t>COE</w:t>
      </w:r>
      <w:r w:rsidRPr="008373E8">
        <w:rPr>
          <w:i/>
          <w:iCs/>
          <w:vertAlign w:val="subscript"/>
        </w:rPr>
        <w:t>NoMOPR</w:t>
      </w:r>
      <w:r w:rsidRPr="008373E8">
        <w:rPr>
          <w:i/>
          <w:iCs/>
        </w:rPr>
        <w:t xml:space="preserve"> = </w:t>
      </w:r>
      <w:r w:rsidR="008B3054" w:rsidRPr="008373E8">
        <w:rPr>
          <w:i/>
          <w:iCs/>
        </w:rPr>
        <w:t>COE</w:t>
      </w:r>
      <w:r w:rsidR="008B3054" w:rsidRPr="008373E8">
        <w:rPr>
          <w:i/>
          <w:iCs/>
          <w:vertAlign w:val="subscript"/>
        </w:rPr>
        <w:t>Reg</w:t>
      </w:r>
      <w:r w:rsidR="008B3054" w:rsidRPr="008373E8">
        <w:rPr>
          <w:i/>
          <w:iCs/>
        </w:rPr>
        <w:t xml:space="preserve"> + </w:t>
      </w:r>
      <w:r w:rsidRPr="008373E8">
        <w:rPr>
          <w:i/>
          <w:iCs/>
        </w:rPr>
        <w:t>COE</w:t>
      </w:r>
      <w:r w:rsidRPr="008373E8">
        <w:rPr>
          <w:i/>
          <w:iCs/>
          <w:vertAlign w:val="subscript"/>
        </w:rPr>
        <w:t>MOPR</w:t>
      </w:r>
      <w:r w:rsidR="00CF45A6" w:rsidRPr="008373E8">
        <w:rPr>
          <w:i/>
          <w:iCs/>
          <w:vertAlign w:val="subscript"/>
        </w:rPr>
        <w:t>-P</w:t>
      </w:r>
      <w:r w:rsidRPr="008373E8">
        <w:rPr>
          <w:i/>
          <w:iCs/>
        </w:rPr>
        <w:t xml:space="preserve"> × StDev</w:t>
      </w:r>
      <w:r w:rsidRPr="008373E8">
        <w:rPr>
          <w:i/>
          <w:iCs/>
          <w:vertAlign w:val="subscript"/>
        </w:rPr>
        <w:t>NoMOPR</w:t>
      </w:r>
      <w:r w:rsidRPr="008373E8">
        <w:rPr>
          <w:i/>
          <w:iCs/>
        </w:rPr>
        <w:t xml:space="preserve"> ÷ StDev</w:t>
      </w:r>
      <w:r w:rsidRPr="008373E8">
        <w:rPr>
          <w:i/>
          <w:iCs/>
          <w:vertAlign w:val="subscript"/>
        </w:rPr>
        <w:t>MOPR</w:t>
      </w:r>
      <w:r w:rsidRPr="008373E8">
        <w:rPr>
          <w:i/>
          <w:iCs/>
        </w:rPr>
        <w:t xml:space="preserve"> </w:t>
      </w:r>
    </w:p>
    <w:p w14:paraId="31BF73A6" w14:textId="67308657" w:rsidR="001A78FA" w:rsidRPr="001A78FA" w:rsidRDefault="00AC22E0" w:rsidP="00D212EA">
      <w:pPr>
        <w:pStyle w:val="rptmainbodytext"/>
      </w:pPr>
      <w:r>
        <w:t>w</w:t>
      </w:r>
      <w:r w:rsidR="001A78FA" w:rsidRPr="001A78FA">
        <w:t>here</w:t>
      </w:r>
      <w:r>
        <w:t>,</w:t>
      </w:r>
    </w:p>
    <w:p w14:paraId="4E790E19" w14:textId="5E7B56D2" w:rsidR="0044199C" w:rsidRDefault="0044199C" w:rsidP="008373E8">
      <w:pPr>
        <w:pStyle w:val="rptmainbodytext"/>
        <w:ind w:firstLine="720"/>
      </w:pPr>
      <w:r w:rsidRPr="00D212EA">
        <w:rPr>
          <w:i/>
          <w:iCs/>
        </w:rPr>
        <w:t>COE</w:t>
      </w:r>
      <w:r w:rsidRPr="00D212EA">
        <w:rPr>
          <w:i/>
          <w:iCs/>
          <w:vertAlign w:val="subscript"/>
        </w:rPr>
        <w:t>NoMOPR</w:t>
      </w:r>
      <w:r w:rsidRPr="001A78FA">
        <w:t xml:space="preserve"> </w:t>
      </w:r>
      <w:r>
        <w:t>is the cost of equity in the No MOPR case,</w:t>
      </w:r>
    </w:p>
    <w:p w14:paraId="7B5354C8" w14:textId="05146B0D" w:rsidR="0044199C" w:rsidRDefault="0044199C" w:rsidP="008373E8">
      <w:pPr>
        <w:pStyle w:val="rptmainbodytext"/>
        <w:ind w:left="720"/>
      </w:pPr>
      <w:r w:rsidRPr="00D212EA">
        <w:rPr>
          <w:i/>
          <w:iCs/>
        </w:rPr>
        <w:t>COE</w:t>
      </w:r>
      <w:r w:rsidRPr="00D212EA">
        <w:rPr>
          <w:i/>
          <w:iCs/>
          <w:vertAlign w:val="subscript"/>
        </w:rPr>
        <w:t>Reg</w:t>
      </w:r>
      <w:r w:rsidRPr="001A78FA">
        <w:t xml:space="preserve"> </w:t>
      </w:r>
      <w:r>
        <w:t>is the cost of equity for a regulated entity</w:t>
      </w:r>
      <w:r w:rsidR="00DB2F84">
        <w:t xml:space="preserve">, </w:t>
      </w:r>
      <w:r w:rsidR="00DB2F84" w:rsidRPr="001A78FA">
        <w:t>which we derive from recent orders setting regulated ROEs</w:t>
      </w:r>
      <w:r>
        <w:t>,</w:t>
      </w:r>
    </w:p>
    <w:p w14:paraId="67FE2C92" w14:textId="4ACC9583" w:rsidR="0015774C" w:rsidRDefault="0015774C" w:rsidP="008373E8">
      <w:pPr>
        <w:pStyle w:val="rptmainbodytext"/>
        <w:ind w:left="720"/>
      </w:pPr>
      <w:r w:rsidRPr="006E0406">
        <w:rPr>
          <w:i/>
          <w:iCs/>
        </w:rPr>
        <w:t>COE</w:t>
      </w:r>
      <w:r>
        <w:rPr>
          <w:i/>
          <w:iCs/>
          <w:vertAlign w:val="subscript"/>
        </w:rPr>
        <w:t>No</w:t>
      </w:r>
      <w:r w:rsidR="00DC6D97">
        <w:rPr>
          <w:i/>
          <w:iCs/>
          <w:vertAlign w:val="subscript"/>
        </w:rPr>
        <w:t>M</w:t>
      </w:r>
      <w:r w:rsidRPr="006E0406">
        <w:rPr>
          <w:i/>
          <w:iCs/>
          <w:vertAlign w:val="subscript"/>
        </w:rPr>
        <w:t>OPR-P</w:t>
      </w:r>
      <w:r w:rsidRPr="001A78FA">
        <w:t xml:space="preserve"> is the power market risk component of cost of equity </w:t>
      </w:r>
      <w:r w:rsidR="002471D3">
        <w:t>with</w:t>
      </w:r>
      <w:r w:rsidRPr="001A78FA">
        <w:t xml:space="preserve"> </w:t>
      </w:r>
      <w:r w:rsidR="00DC6D97">
        <w:t xml:space="preserve">No </w:t>
      </w:r>
      <w:r w:rsidRPr="001A78FA">
        <w:t>MOPR</w:t>
      </w:r>
      <w:r w:rsidR="002471D3">
        <w:t>,</w:t>
      </w:r>
    </w:p>
    <w:p w14:paraId="054C0E01" w14:textId="7668B524" w:rsidR="00DB2F84" w:rsidRPr="001A78FA" w:rsidRDefault="001A78FA" w:rsidP="008373E8">
      <w:pPr>
        <w:pStyle w:val="rptmainbodytext"/>
        <w:ind w:left="720"/>
      </w:pPr>
      <w:r w:rsidRPr="00D212EA">
        <w:rPr>
          <w:i/>
          <w:iCs/>
        </w:rPr>
        <w:t>COE</w:t>
      </w:r>
      <w:r w:rsidRPr="00D212EA">
        <w:rPr>
          <w:i/>
          <w:iCs/>
          <w:vertAlign w:val="subscript"/>
        </w:rPr>
        <w:t>MOPR</w:t>
      </w:r>
      <w:r w:rsidR="00AB7163" w:rsidRPr="00D212EA">
        <w:rPr>
          <w:i/>
          <w:iCs/>
          <w:vertAlign w:val="subscript"/>
        </w:rPr>
        <w:t>-P</w:t>
      </w:r>
      <w:r w:rsidRPr="001A78FA">
        <w:t xml:space="preserve"> is the power market risk component of cost of equity under the MOPR, which we derive </w:t>
      </w:r>
      <w:r w:rsidR="00DB2F84">
        <w:t xml:space="preserve">as the difference between </w:t>
      </w:r>
      <w:r w:rsidR="00DB2F84" w:rsidRPr="001A78FA">
        <w:t xml:space="preserve">Merchant cost of equity </w:t>
      </w:r>
      <w:r w:rsidR="00DB2F84">
        <w:t xml:space="preserve">under status quo conditions </w:t>
      </w:r>
      <w:r w:rsidR="00993E21">
        <w:t xml:space="preserve">such that:  </w:t>
      </w:r>
      <w:r w:rsidR="00993E21" w:rsidRPr="00D212EA">
        <w:rPr>
          <w:i/>
          <w:iCs/>
        </w:rPr>
        <w:t>COE</w:t>
      </w:r>
      <w:r w:rsidR="00993E21" w:rsidRPr="00D212EA">
        <w:rPr>
          <w:i/>
          <w:iCs/>
          <w:vertAlign w:val="subscript"/>
        </w:rPr>
        <w:t>MOPR-P</w:t>
      </w:r>
      <w:r w:rsidR="00DB2F84">
        <w:t xml:space="preserve"> </w:t>
      </w:r>
      <w:r w:rsidR="00993E21">
        <w:t>=</w:t>
      </w:r>
      <w:r w:rsidR="00DB2F84">
        <w:t xml:space="preserve"> </w:t>
      </w:r>
      <w:r w:rsidR="00DB2F84" w:rsidRPr="00D212EA">
        <w:rPr>
          <w:i/>
          <w:iCs/>
        </w:rPr>
        <w:t>COE</w:t>
      </w:r>
      <w:r w:rsidR="00DB2F84" w:rsidRPr="00D212EA">
        <w:rPr>
          <w:i/>
          <w:iCs/>
          <w:vertAlign w:val="subscript"/>
        </w:rPr>
        <w:t>MOPR</w:t>
      </w:r>
      <w:r w:rsidR="00DB2F84">
        <w:t xml:space="preserve"> </w:t>
      </w:r>
      <w:r w:rsidR="00993E21">
        <w:t xml:space="preserve">– </w:t>
      </w:r>
      <w:r w:rsidR="00DB2F84" w:rsidRPr="00D212EA">
        <w:rPr>
          <w:i/>
          <w:iCs/>
        </w:rPr>
        <w:t>COE</w:t>
      </w:r>
      <w:r w:rsidR="00DB2F84" w:rsidRPr="00D212EA">
        <w:rPr>
          <w:i/>
          <w:iCs/>
          <w:vertAlign w:val="subscript"/>
        </w:rPr>
        <w:t>Reg</w:t>
      </w:r>
      <w:r w:rsidR="00DB2F84">
        <w:t xml:space="preserve">,  </w:t>
      </w:r>
    </w:p>
    <w:p w14:paraId="259311D1" w14:textId="01427F43" w:rsidR="001A78FA" w:rsidRDefault="001A78FA" w:rsidP="008373E8">
      <w:pPr>
        <w:pStyle w:val="rptmainbodytext"/>
        <w:ind w:firstLine="720"/>
      </w:pPr>
      <w:r w:rsidRPr="00D212EA">
        <w:rPr>
          <w:i/>
          <w:iCs/>
        </w:rPr>
        <w:t>StDev</w:t>
      </w:r>
      <w:r w:rsidRPr="001A78FA">
        <w:t xml:space="preserve"> is the expected standard deviation of market returns in each case</w:t>
      </w:r>
    </w:p>
    <w:p w14:paraId="1651A002" w14:textId="372C1BB6" w:rsidR="00DB2F84" w:rsidRDefault="006925A8" w:rsidP="001A78FA">
      <w:pPr>
        <w:pStyle w:val="rptmainbodytext"/>
      </w:pPr>
      <w:r>
        <w:t>In summary</w:t>
      </w:r>
      <w:r w:rsidR="00DB2F84">
        <w:t>, th</w:t>
      </w:r>
      <w:r w:rsidR="00CF3148">
        <w:t>is</w:t>
      </w:r>
      <w:r w:rsidR="00DB2F84">
        <w:t xml:space="preserve"> formula</w:t>
      </w:r>
      <w:r w:rsidR="00EE391D">
        <w:t>tion</w:t>
      </w:r>
      <w:r w:rsidR="00DB2F84">
        <w:t xml:space="preserve"> </w:t>
      </w:r>
      <w:r w:rsidR="009E5958">
        <w:t xml:space="preserve">bases </w:t>
      </w:r>
      <w:r w:rsidR="00DB2F84">
        <w:t xml:space="preserve">the COE in the No MOPR case </w:t>
      </w:r>
      <w:r w:rsidR="00150082">
        <w:t xml:space="preserve">on </w:t>
      </w:r>
      <w:r w:rsidR="00DB2F84">
        <w:t>the sum of</w:t>
      </w:r>
      <w:r w:rsidR="00B30BB0">
        <w:t xml:space="preserve"> two components</w:t>
      </w:r>
      <w:r w:rsidR="00DB2F84">
        <w:t>:</w:t>
      </w:r>
    </w:p>
    <w:p w14:paraId="7B751F1E" w14:textId="7FB9F3DC" w:rsidR="00DB2F84" w:rsidRDefault="00DB2F84" w:rsidP="00484E2F">
      <w:pPr>
        <w:pStyle w:val="rptmainbodybullets1"/>
      </w:pPr>
      <w:r w:rsidRPr="00D212EA">
        <w:rPr>
          <w:i/>
        </w:rPr>
        <w:t>COE</w:t>
      </w:r>
      <w:r w:rsidRPr="00D212EA">
        <w:rPr>
          <w:i/>
          <w:vertAlign w:val="subscript"/>
        </w:rPr>
        <w:t>Reg</w:t>
      </w:r>
      <w:r w:rsidRPr="001A78FA">
        <w:t xml:space="preserve"> </w:t>
      </w:r>
      <w:r>
        <w:t xml:space="preserve">which </w:t>
      </w:r>
      <w:r w:rsidR="00CC77FF">
        <w:t xml:space="preserve">is </w:t>
      </w:r>
      <w:r>
        <w:t>a</w:t>
      </w:r>
      <w:r w:rsidR="005D43C6">
        <w:t>n estimate of</w:t>
      </w:r>
      <w:r>
        <w:t xml:space="preserve"> the risk associated with investing in </w:t>
      </w:r>
      <w:r w:rsidR="00097001">
        <w:t xml:space="preserve">a </w:t>
      </w:r>
      <w:r>
        <w:t xml:space="preserve">unit that does not face any power market risk.  This risk is </w:t>
      </w:r>
      <w:r w:rsidR="00A27C45">
        <w:t xml:space="preserve">assumed </w:t>
      </w:r>
      <w:r>
        <w:t xml:space="preserve">to be </w:t>
      </w:r>
      <w:r w:rsidR="00A27C45">
        <w:t>the same in</w:t>
      </w:r>
      <w:r>
        <w:t xml:space="preserve"> the MOPR and No MOPR cases.</w:t>
      </w:r>
      <w:r w:rsidR="00B30BB0">
        <w:rPr>
          <w:rStyle w:val="FootnoteReference"/>
        </w:rPr>
        <w:footnoteReference w:id="7"/>
      </w:r>
    </w:p>
    <w:p w14:paraId="6F18EFA6" w14:textId="4D05D7A6" w:rsidR="00A3607A" w:rsidRPr="001A78FA" w:rsidRDefault="00014A04" w:rsidP="00484E2F">
      <w:pPr>
        <w:pStyle w:val="rptmainbodybullets1"/>
      </w:pPr>
      <w:r w:rsidRPr="008373E8">
        <w:rPr>
          <w:i/>
          <w:iCs/>
        </w:rPr>
        <w:t>COE</w:t>
      </w:r>
      <w:r w:rsidR="002A6FF7">
        <w:rPr>
          <w:i/>
          <w:iCs/>
          <w:vertAlign w:val="subscript"/>
        </w:rPr>
        <w:t>NoM</w:t>
      </w:r>
      <w:r w:rsidRPr="008373E8">
        <w:rPr>
          <w:i/>
          <w:iCs/>
          <w:vertAlign w:val="subscript"/>
        </w:rPr>
        <w:t>OPR-P</w:t>
      </w:r>
      <w:r>
        <w:t xml:space="preserve"> which is</w:t>
      </w:r>
      <w:r w:rsidR="00340FFC">
        <w:t xml:space="preserve"> t</w:t>
      </w:r>
      <w:r w:rsidR="00B30BB0">
        <w:t xml:space="preserve">he </w:t>
      </w:r>
      <w:r w:rsidR="008449E4">
        <w:t>component of</w:t>
      </w:r>
      <w:r w:rsidR="00B30BB0">
        <w:t xml:space="preserve"> the COE associated with the </w:t>
      </w:r>
      <w:r w:rsidR="00B759BD">
        <w:t xml:space="preserve">power </w:t>
      </w:r>
      <w:r w:rsidR="00B30BB0">
        <w:t xml:space="preserve">market risk </w:t>
      </w:r>
      <w:r w:rsidR="00793F05">
        <w:t>after the</w:t>
      </w:r>
      <w:r w:rsidR="00B30BB0">
        <w:t xml:space="preserve"> elimination of MOPR.  We estimate this component by scaling up the </w:t>
      </w:r>
      <w:r w:rsidR="00B759BD">
        <w:t xml:space="preserve">power </w:t>
      </w:r>
      <w:r w:rsidR="00B30BB0">
        <w:t>market risk component of the COE under status quo by the ratio of standard deviation of market returns in the two cases.</w:t>
      </w:r>
    </w:p>
    <w:p w14:paraId="1323F0E7" w14:textId="00BD39E0" w:rsidR="008A32D4" w:rsidRDefault="00EA2C75" w:rsidP="009B2B54">
      <w:pPr>
        <w:pStyle w:val="rptmainbodyheading3"/>
      </w:pPr>
      <w:bookmarkStart w:id="919" w:name="_Ref85535105"/>
      <w:r>
        <w:t xml:space="preserve">Revenue </w:t>
      </w:r>
      <w:r w:rsidR="008A32D4" w:rsidRPr="00997902">
        <w:t>Volatility</w:t>
      </w:r>
      <w:r w:rsidR="008A32D4">
        <w:t xml:space="preserve"> and Cost of Debt</w:t>
      </w:r>
      <w:bookmarkEnd w:id="919"/>
    </w:p>
    <w:p w14:paraId="71D733CE" w14:textId="6839D1AC" w:rsidR="008A32D4" w:rsidRDefault="00EB2754" w:rsidP="00302119">
      <w:pPr>
        <w:pStyle w:val="rptmainbodytext"/>
      </w:pPr>
      <w:r w:rsidRPr="00EB2754">
        <w:t xml:space="preserve">As discussed in </w:t>
      </w:r>
      <w:r w:rsidR="00F2435A">
        <w:t xml:space="preserve">section </w:t>
      </w:r>
      <w:r w:rsidR="00F2435A">
        <w:fldChar w:fldCharType="begin"/>
      </w:r>
      <w:r w:rsidR="00F2435A">
        <w:instrText xml:space="preserve"> REF _Ref84237547 \r \h </w:instrText>
      </w:r>
      <w:r w:rsidR="00F2435A">
        <w:fldChar w:fldCharType="separate"/>
      </w:r>
      <w:r w:rsidR="00F2435A">
        <w:t>II</w:t>
      </w:r>
      <w:r w:rsidR="00F2435A">
        <w:fldChar w:fldCharType="end"/>
      </w:r>
      <w:r w:rsidRPr="00EB2754">
        <w:t xml:space="preserve">, the wholesale market </w:t>
      </w:r>
      <w:r w:rsidR="002667CE">
        <w:t>will</w:t>
      </w:r>
      <w:r w:rsidR="001836D7" w:rsidRPr="00EB2754">
        <w:t xml:space="preserve"> </w:t>
      </w:r>
      <w:r w:rsidRPr="00EB2754">
        <w:t xml:space="preserve">experience supply and demand shocks </w:t>
      </w:r>
      <w:r w:rsidR="002667CE">
        <w:t xml:space="preserve">that </w:t>
      </w:r>
      <w:r w:rsidR="00CD05C3">
        <w:t>could</w:t>
      </w:r>
      <w:r w:rsidR="004A60AA">
        <w:t xml:space="preserve"> have larger price effects </w:t>
      </w:r>
      <w:r w:rsidR="005464E2">
        <w:t>after the MOPR is eliminated</w:t>
      </w:r>
      <w:r w:rsidR="00E25B16">
        <w:t xml:space="preserve">.  In particular, </w:t>
      </w:r>
      <w:r w:rsidR="00195019">
        <w:t xml:space="preserve">the likelihood of </w:t>
      </w:r>
      <w:r w:rsidR="003E318D">
        <w:t xml:space="preserve">experiencing </w:t>
      </w:r>
      <w:r w:rsidR="00195019">
        <w:t>periods</w:t>
      </w:r>
      <w:r w:rsidR="005464E2">
        <w:t xml:space="preserve"> </w:t>
      </w:r>
      <w:r w:rsidR="003E318D">
        <w:t>of</w:t>
      </w:r>
      <w:r w:rsidRPr="00EB2754">
        <w:t xml:space="preserve"> severely depressed </w:t>
      </w:r>
      <w:r w:rsidR="00BA6186">
        <w:t xml:space="preserve">wholesale </w:t>
      </w:r>
      <w:r w:rsidRPr="00EB2754">
        <w:t>prices</w:t>
      </w:r>
      <w:r w:rsidR="00F8269E">
        <w:t xml:space="preserve"> is expected to increase</w:t>
      </w:r>
      <w:r w:rsidRPr="00EB2754">
        <w:t>.</w:t>
      </w:r>
      <w:r>
        <w:t xml:space="preserve">  </w:t>
      </w:r>
      <w:r w:rsidR="00992735">
        <w:t xml:space="preserve">In addition to expected prices, credit </w:t>
      </w:r>
      <w:r w:rsidR="000A3215">
        <w:t xml:space="preserve">rating agencies consider a </w:t>
      </w:r>
      <w:r w:rsidR="00D44BF5">
        <w:t xml:space="preserve">variety of downside or stressed conditions when </w:t>
      </w:r>
      <w:r w:rsidR="003D0013">
        <w:t xml:space="preserve">evaluating the ability of a project to satisfy its debt obligations and </w:t>
      </w:r>
      <w:r w:rsidR="00D44BF5">
        <w:t xml:space="preserve">assigning </w:t>
      </w:r>
      <w:r w:rsidR="001C6C5A">
        <w:t xml:space="preserve">a </w:t>
      </w:r>
      <w:r w:rsidR="00D44BF5">
        <w:t xml:space="preserve">rating for </w:t>
      </w:r>
      <w:r w:rsidR="001C6C5A">
        <w:lastRenderedPageBreak/>
        <w:t>it</w:t>
      </w:r>
      <w:r w:rsidR="00D44BF5">
        <w:t>.</w:t>
      </w:r>
      <w:r w:rsidR="006141C9">
        <w:rPr>
          <w:rStyle w:val="FootnoteReference"/>
        </w:rPr>
        <w:footnoteReference w:id="8"/>
      </w:r>
      <w:r w:rsidR="00D44BF5">
        <w:t xml:space="preserve">  </w:t>
      </w:r>
      <w:r w:rsidR="00CB5BCA">
        <w:t>Therefore</w:t>
      </w:r>
      <w:r w:rsidR="00A53F35">
        <w:t xml:space="preserve">, </w:t>
      </w:r>
      <w:r w:rsidR="00020875">
        <w:t xml:space="preserve">even if two projects have the same revenues on an expected basis, </w:t>
      </w:r>
      <w:r w:rsidR="00A53F35">
        <w:t>a</w:t>
      </w:r>
      <w:r w:rsidR="002D0681">
        <w:t xml:space="preserve"> </w:t>
      </w:r>
      <w:r w:rsidR="00A53F35">
        <w:t>project</w:t>
      </w:r>
      <w:r w:rsidR="00020875">
        <w:t xml:space="preserve"> </w:t>
      </w:r>
      <w:r w:rsidR="0006391C">
        <w:t xml:space="preserve">that faces a </w:t>
      </w:r>
      <w:r w:rsidR="00FC3B24">
        <w:t xml:space="preserve">larger </w:t>
      </w:r>
      <w:r w:rsidR="0006391C">
        <w:t xml:space="preserve">downside risk </w:t>
      </w:r>
      <w:r w:rsidR="00C614BB">
        <w:t xml:space="preserve">(i.e. </w:t>
      </w:r>
      <w:r w:rsidR="00ED3E25">
        <w:t>the one whose</w:t>
      </w:r>
      <w:r w:rsidR="00C614BB">
        <w:t xml:space="preserve"> </w:t>
      </w:r>
      <w:r w:rsidR="00ED3E25">
        <w:t xml:space="preserve">revenues are likely </w:t>
      </w:r>
      <w:r w:rsidR="009E2DBC">
        <w:t>to</w:t>
      </w:r>
      <w:r w:rsidR="00ED3E25">
        <w:t xml:space="preserve"> be lower</w:t>
      </w:r>
      <w:r w:rsidR="00C614BB">
        <w:t xml:space="preserve"> under stressed conditions) </w:t>
      </w:r>
      <w:r w:rsidR="002D0681">
        <w:t>would receive a lower rating</w:t>
      </w:r>
      <w:r w:rsidR="004B2698">
        <w:t>,</w:t>
      </w:r>
      <w:r w:rsidR="002D0681">
        <w:t xml:space="preserve"> which would </w:t>
      </w:r>
      <w:r w:rsidR="004B2698">
        <w:t>result in</w:t>
      </w:r>
      <w:r w:rsidR="002D0681">
        <w:t xml:space="preserve"> a higher COD</w:t>
      </w:r>
      <w:r w:rsidR="0006391C">
        <w:t>.</w:t>
      </w:r>
    </w:p>
    <w:p w14:paraId="2B661898" w14:textId="5F9D8FD4" w:rsidR="00C14B56" w:rsidRDefault="000D3D94" w:rsidP="0087582A">
      <w:pPr>
        <w:pStyle w:val="rptmainbodytext"/>
      </w:pPr>
      <w:r>
        <w:t>While t</w:t>
      </w:r>
      <w:r w:rsidR="00E51BC0">
        <w:t xml:space="preserve">he </w:t>
      </w:r>
      <w:r w:rsidR="00F110AD">
        <w:t xml:space="preserve">Net </w:t>
      </w:r>
      <w:r w:rsidR="00E51BC0">
        <w:t xml:space="preserve">CONE Study </w:t>
      </w:r>
      <w:r w:rsidR="00EE45E6">
        <w:t>used historic data on publicly</w:t>
      </w:r>
      <w:r w:rsidR="00A30E5B">
        <w:t xml:space="preserve"> </w:t>
      </w:r>
      <w:r w:rsidR="00EE45E6">
        <w:t xml:space="preserve">traded companies </w:t>
      </w:r>
      <w:r w:rsidR="005501CD">
        <w:t xml:space="preserve">with balance sheet financing </w:t>
      </w:r>
      <w:r w:rsidR="00A37D62">
        <w:t>to estimate</w:t>
      </w:r>
      <w:r w:rsidR="005501CD">
        <w:t xml:space="preserve"> the</w:t>
      </w:r>
      <w:r w:rsidR="00A37D62">
        <w:t xml:space="preserve"> cost of </w:t>
      </w:r>
      <w:r w:rsidR="005501CD">
        <w:t>capital</w:t>
      </w:r>
      <w:r w:rsidR="00A37D62">
        <w:t xml:space="preserve"> </w:t>
      </w:r>
      <w:r w:rsidR="005501CD">
        <w:t>for merchant generation investments</w:t>
      </w:r>
      <w:r w:rsidR="00F46C2C">
        <w:t xml:space="preserve"> under the current market rules</w:t>
      </w:r>
      <w:r w:rsidR="005501CD">
        <w:t>.</w:t>
      </w:r>
      <w:r w:rsidR="00F110AD">
        <w:t>, o</w:t>
      </w:r>
      <w:r w:rsidR="00CA48F5">
        <w:t xml:space="preserve">ur model uses principles of project finance to estimate how </w:t>
      </w:r>
      <w:r w:rsidR="00555996">
        <w:t xml:space="preserve">changes in the distribution of revenues would be expected to </w:t>
      </w:r>
      <w:r w:rsidR="00A30E5B">
        <w:t>affect</w:t>
      </w:r>
      <w:r w:rsidR="00555996">
        <w:t xml:space="preserve"> the cost of capital for </w:t>
      </w:r>
      <w:r w:rsidR="00473ED9">
        <w:t>merchant generation investments</w:t>
      </w:r>
      <w:r w:rsidR="00691DEB">
        <w:t>.</w:t>
      </w:r>
      <w:r w:rsidR="00473ED9">
        <w:t xml:space="preserve"> </w:t>
      </w:r>
      <w:r w:rsidR="004D7217">
        <w:t xml:space="preserve"> </w:t>
      </w:r>
      <w:r w:rsidR="00F22BCD" w:rsidRPr="00373432">
        <w:t xml:space="preserve">The primary metric we </w:t>
      </w:r>
      <w:r w:rsidR="0033731E">
        <w:t xml:space="preserve">use </w:t>
      </w:r>
      <w:r w:rsidR="00EF537D">
        <w:t>to</w:t>
      </w:r>
      <w:r w:rsidR="0013004D" w:rsidRPr="00373432">
        <w:t xml:space="preserve"> analy</w:t>
      </w:r>
      <w:r w:rsidR="00EF537D">
        <w:t>ze</w:t>
      </w:r>
      <w:r w:rsidR="0013004D" w:rsidRPr="00373432">
        <w:t xml:space="preserve"> </w:t>
      </w:r>
      <w:r w:rsidR="0000491D" w:rsidRPr="00373432">
        <w:t xml:space="preserve">the </w:t>
      </w:r>
      <w:r w:rsidR="0086127B" w:rsidRPr="00373432">
        <w:t xml:space="preserve">ability of a project to satisfy its debt service obligations </w:t>
      </w:r>
      <w:r w:rsidR="004B6983">
        <w:t>is t</w:t>
      </w:r>
      <w:r w:rsidR="0086127B" w:rsidRPr="00373432">
        <w:t>he Debt-Service Coverage Ratio (“</w:t>
      </w:r>
      <w:r w:rsidR="00F22BCD" w:rsidRPr="00373432">
        <w:t>DSCR</w:t>
      </w:r>
      <w:r w:rsidR="0086127B" w:rsidRPr="00373432">
        <w:t>”)</w:t>
      </w:r>
      <w:r w:rsidR="00C46ABA">
        <w:t xml:space="preserve">, which is the ratio of </w:t>
      </w:r>
      <w:r w:rsidR="008F0213">
        <w:t xml:space="preserve">a project’s </w:t>
      </w:r>
      <w:r w:rsidR="00A66DEA">
        <w:t xml:space="preserve">operating </w:t>
      </w:r>
      <w:r w:rsidR="00AC278A">
        <w:t>income</w:t>
      </w:r>
      <w:r w:rsidR="008F0213">
        <w:t xml:space="preserve"> to its deb</w:t>
      </w:r>
      <w:r w:rsidR="00A66DEA">
        <w:t>t service payments</w:t>
      </w:r>
      <w:r w:rsidR="00F22BCD" w:rsidRPr="00373432">
        <w:t>.</w:t>
      </w:r>
      <w:r w:rsidR="00A04DBD" w:rsidRPr="00373432">
        <w:rPr>
          <w:rStyle w:val="FootnoteReference"/>
        </w:rPr>
        <w:footnoteReference w:id="9"/>
      </w:r>
      <w:r w:rsidR="00F22BCD" w:rsidRPr="00373432">
        <w:t xml:space="preserve">  </w:t>
      </w:r>
      <w:r w:rsidR="00C36D5F" w:rsidRPr="00373432">
        <w:t xml:space="preserve">A </w:t>
      </w:r>
      <w:r w:rsidR="008D5AA8">
        <w:t>high</w:t>
      </w:r>
      <w:r w:rsidR="008D5AA8" w:rsidRPr="00373432">
        <w:t xml:space="preserve"> </w:t>
      </w:r>
      <w:r w:rsidR="00C36D5F" w:rsidRPr="00373432">
        <w:t>DSCR generally lead</w:t>
      </w:r>
      <w:r w:rsidR="004B6983">
        <w:t>s</w:t>
      </w:r>
      <w:r w:rsidR="00C36D5F" w:rsidRPr="00373432">
        <w:t xml:space="preserve"> to a better credit rating, while a low DSCR lead</w:t>
      </w:r>
      <w:r w:rsidR="008D5AA8">
        <w:t>s</w:t>
      </w:r>
      <w:r w:rsidR="00C36D5F" w:rsidRPr="00373432">
        <w:t xml:space="preserve"> to (a) a lower credit rating and/or (b) an increase in liquidity requirements for the project.  </w:t>
      </w:r>
      <w:r w:rsidR="003D2D88">
        <w:t>W</w:t>
      </w:r>
      <w:r w:rsidR="00DD4AAD" w:rsidRPr="00373432">
        <w:t xml:space="preserve">e utilize the </w:t>
      </w:r>
      <w:r w:rsidR="004F67F0" w:rsidRPr="00373432">
        <w:t>following</w:t>
      </w:r>
      <w:r w:rsidR="00EB307C" w:rsidRPr="00373432">
        <w:t xml:space="preserve"> guidance </w:t>
      </w:r>
      <w:r w:rsidR="004F67F0" w:rsidRPr="00373432">
        <w:t>(</w:t>
      </w:r>
      <w:r w:rsidR="0092612C">
        <w:fldChar w:fldCharType="begin"/>
      </w:r>
      <w:r w:rsidR="0092612C">
        <w:instrText xml:space="preserve"> REF _Ref86064512 \h </w:instrText>
      </w:r>
      <w:r w:rsidR="0092612C">
        <w:fldChar w:fldCharType="separate"/>
      </w:r>
      <w:r w:rsidR="0092612C">
        <w:t xml:space="preserve">Table </w:t>
      </w:r>
      <w:r w:rsidR="0092612C">
        <w:rPr>
          <w:noProof/>
        </w:rPr>
        <w:t>2</w:t>
      </w:r>
      <w:r w:rsidR="0092612C">
        <w:fldChar w:fldCharType="end"/>
      </w:r>
      <w:r w:rsidR="004F67F0" w:rsidRPr="00373432">
        <w:t xml:space="preserve">) </w:t>
      </w:r>
      <w:r w:rsidR="00DD4AAD" w:rsidRPr="00373432">
        <w:t xml:space="preserve">from Fitch Ratings </w:t>
      </w:r>
      <w:r w:rsidR="00FC7978" w:rsidRPr="00373432">
        <w:t xml:space="preserve">regarding </w:t>
      </w:r>
      <w:r w:rsidR="00F64213">
        <w:t xml:space="preserve">how a change in </w:t>
      </w:r>
      <w:r w:rsidR="00FC7978" w:rsidRPr="00373432">
        <w:t xml:space="preserve">the expected DSCR </w:t>
      </w:r>
      <w:r w:rsidR="00135FBF">
        <w:t>of a project</w:t>
      </w:r>
      <w:r w:rsidR="00C23A83" w:rsidRPr="00373432">
        <w:t xml:space="preserve"> </w:t>
      </w:r>
      <w:r w:rsidR="00135FBF">
        <w:t>would affect its</w:t>
      </w:r>
      <w:r w:rsidR="00C23A83" w:rsidRPr="00373432">
        <w:t xml:space="preserve"> debt rating and COD</w:t>
      </w:r>
      <w:r w:rsidR="00B93A9B" w:rsidRPr="00373432">
        <w:t>.</w:t>
      </w:r>
      <w:r w:rsidR="00BF5F55">
        <w:t xml:space="preserve">  </w:t>
      </w:r>
      <w:r w:rsidR="00200EA3">
        <w:t xml:space="preserve">The table </w:t>
      </w:r>
      <w:r w:rsidR="00D86D49">
        <w:t xml:space="preserve">examines the ability of a project </w:t>
      </w:r>
      <w:r w:rsidR="000B072C">
        <w:t>to cover its debt service under conditions</w:t>
      </w:r>
      <w:r w:rsidR="00200311">
        <w:t xml:space="preserve"> “consistent with the expected bottom</w:t>
      </w:r>
      <w:r w:rsidR="00FC5406">
        <w:t>”</w:t>
      </w:r>
      <w:r w:rsidR="00200311">
        <w:t xml:space="preserve"> of an economic cycle</w:t>
      </w:r>
      <w:r w:rsidR="00312B06">
        <w:t>, which is known as a “Rating Case”</w:t>
      </w:r>
      <w:r w:rsidR="001A797A">
        <w:t>.</w:t>
      </w:r>
      <w:r w:rsidR="00857E06">
        <w:rPr>
          <w:rStyle w:val="FootnoteReference"/>
        </w:rPr>
        <w:footnoteReference w:id="10"/>
      </w:r>
    </w:p>
    <w:p w14:paraId="646836FF" w14:textId="3AA39095" w:rsidR="00C36D5F" w:rsidRDefault="00DC3027" w:rsidP="00415737">
      <w:pPr>
        <w:pStyle w:val="rptmainbodyfiguretitle1"/>
      </w:pPr>
      <w:bookmarkStart w:id="920" w:name="_Ref86064512"/>
      <w:bookmarkStart w:id="921" w:name="_Toc86727548"/>
      <w:r>
        <w:t xml:space="preserve">Table </w:t>
      </w:r>
      <w:r>
        <w:fldChar w:fldCharType="begin"/>
      </w:r>
      <w:r>
        <w:instrText>SEQ Table \* ARABIC</w:instrText>
      </w:r>
      <w:r>
        <w:fldChar w:fldCharType="separate"/>
      </w:r>
      <w:r w:rsidR="009E5545">
        <w:rPr>
          <w:noProof/>
        </w:rPr>
        <w:t>2</w:t>
      </w:r>
      <w:r>
        <w:fldChar w:fldCharType="end"/>
      </w:r>
      <w:bookmarkEnd w:id="920"/>
      <w:r>
        <w:t xml:space="preserve">: </w:t>
      </w:r>
      <w:r w:rsidR="004C5A4D">
        <w:t>Fitch Ratings Guidance regarding Indicative Coverage Ratios</w:t>
      </w:r>
      <w:r w:rsidR="00415737">
        <w:rPr>
          <w:rStyle w:val="FootnoteReference"/>
        </w:rPr>
        <w:footnoteReference w:id="11"/>
      </w:r>
      <w:bookmarkEnd w:id="921"/>
      <w:r w:rsidR="00F262E3">
        <w:t xml:space="preserve">  </w:t>
      </w:r>
    </w:p>
    <w:p w14:paraId="079FACCB" w14:textId="3B6280F1" w:rsidR="00B93A9B" w:rsidRDefault="007C56F6" w:rsidP="007C56F6">
      <w:pPr>
        <w:pStyle w:val="rptmainbodyfigure"/>
      </w:pPr>
      <w:r w:rsidRPr="007C56F6">
        <w:drawing>
          <wp:inline distT="0" distB="0" distL="0" distR="0" wp14:anchorId="106B2CEF" wp14:editId="3A32AF11">
            <wp:extent cx="5421825" cy="963168"/>
            <wp:effectExtent l="0" t="0" r="0" b="8890"/>
            <wp:docPr id="16" name="Picture 5">
              <a:extLst xmlns:a="http://schemas.openxmlformats.org/drawingml/2006/main">
                <a:ext uri="{FF2B5EF4-FFF2-40B4-BE49-F238E27FC236}">
                  <a16:creationId xmlns:a16="http://schemas.microsoft.com/office/drawing/2014/main" id="{C81205A5-72D1-49BF-9CFE-5CEF64AAE05F}"/>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Picture 5">
                      <a:extLst>
                        <a:ext uri="{FF2B5EF4-FFF2-40B4-BE49-F238E27FC236}">
                          <a16:creationId xmlns:a16="http://schemas.microsoft.com/office/drawing/2014/main" id="{C81205A5-72D1-49BF-9CFE-5CEF64AAE05F}"/>
                        </a:ext>
                      </a:extLst>
                    </pic:cNvPr>
                    <pic:cNvPicPr>
                      <a:picLocks noChangeAspect="1"/>
                    </pic:cNvPicPr>
                  </pic:nvPicPr>
                  <pic:blipFill>
                    <a:blip r:embed="rId31"/>
                    <a:stretch>
                      <a:fillRect/>
                    </a:stretch>
                  </pic:blipFill>
                  <pic:spPr>
                    <a:xfrm>
                      <a:off x="0" y="0"/>
                      <a:ext cx="5445818" cy="967430"/>
                    </a:xfrm>
                    <a:prstGeom prst="rect">
                      <a:avLst/>
                    </a:prstGeom>
                  </pic:spPr>
                </pic:pic>
              </a:graphicData>
            </a:graphic>
          </wp:inline>
        </w:drawing>
      </w:r>
    </w:p>
    <w:p w14:paraId="42DF0968" w14:textId="69BD67D9" w:rsidR="009E2A26" w:rsidRDefault="003208E1" w:rsidP="00FC7978">
      <w:pPr>
        <w:pStyle w:val="rptmainbodytext"/>
      </w:pPr>
      <w:r>
        <w:lastRenderedPageBreak/>
        <w:t>T</w:t>
      </w:r>
      <w:r w:rsidR="001C4A72">
        <w:t>he table</w:t>
      </w:r>
      <w:r>
        <w:t xml:space="preserve"> shows that</w:t>
      </w:r>
      <w:r w:rsidR="001C4A72">
        <w:t xml:space="preserve"> </w:t>
      </w:r>
      <w:r w:rsidR="009E62C7">
        <w:t>as the DSCR</w:t>
      </w:r>
      <w:r w:rsidR="0007575B">
        <w:t xml:space="preserve"> in the Rating Case decreases, the project’s rating (and its COD) </w:t>
      </w:r>
      <w:r w:rsidR="005E41DA">
        <w:t>worsen</w:t>
      </w:r>
      <w:r w:rsidR="00A868D8">
        <w:t>s</w:t>
      </w:r>
      <w:r w:rsidR="0007575B">
        <w:t>.</w:t>
      </w:r>
      <w:r w:rsidR="0016361E">
        <w:t xml:space="preserve">  A merchant generator in a deregulated wholesale market </w:t>
      </w:r>
      <w:r w:rsidR="000E6C0A">
        <w:t>would be analyzed using the row for “Full Merchant Exposure”</w:t>
      </w:r>
      <w:r w:rsidR="0071082C">
        <w:t>.</w:t>
      </w:r>
      <w:r w:rsidR="00FB2659">
        <w:t xml:space="preserve">  </w:t>
      </w:r>
      <w:r w:rsidR="009E2A26">
        <w:t>To develop the Rating Case</w:t>
      </w:r>
      <w:r w:rsidR="00603030">
        <w:t xml:space="preserve"> </w:t>
      </w:r>
      <w:r w:rsidR="00074161">
        <w:t xml:space="preserve">DSCR </w:t>
      </w:r>
      <w:r w:rsidR="00E603AB">
        <w:t xml:space="preserve">and estimate the COD </w:t>
      </w:r>
      <w:r w:rsidR="00603030">
        <w:t>in the No MOPR case</w:t>
      </w:r>
      <w:r w:rsidR="009E2A26">
        <w:t>, w</w:t>
      </w:r>
      <w:r w:rsidR="0044672D">
        <w:t>e</w:t>
      </w:r>
      <w:r w:rsidR="009E2A26">
        <w:t>:</w:t>
      </w:r>
    </w:p>
    <w:p w14:paraId="2342827C" w14:textId="6990D96B" w:rsidR="0044672D" w:rsidRDefault="00083418" w:rsidP="00603030">
      <w:pPr>
        <w:pStyle w:val="rptmainbodybullets1"/>
      </w:pPr>
      <w:r>
        <w:t>A</w:t>
      </w:r>
      <w:r w:rsidR="00982996">
        <w:t xml:space="preserve">djust the revenue distributions </w:t>
      </w:r>
      <w:r>
        <w:t xml:space="preserve">(in both the MOPR and No MOPR cases) </w:t>
      </w:r>
      <w:r w:rsidR="00982996">
        <w:t xml:space="preserve">by </w:t>
      </w:r>
      <w:r w:rsidR="00023EDB">
        <w:t>i</w:t>
      </w:r>
      <w:r w:rsidR="000F681D">
        <w:t>ncreas</w:t>
      </w:r>
      <w:r w:rsidR="00982996">
        <w:t>ing</w:t>
      </w:r>
      <w:r w:rsidR="000F681D">
        <w:t xml:space="preserve"> </w:t>
      </w:r>
      <w:r w:rsidR="0044672D">
        <w:t xml:space="preserve">the fixed costs </w:t>
      </w:r>
      <w:r w:rsidR="001514C7">
        <w:t>and reduc</w:t>
      </w:r>
      <w:r w:rsidR="00982996">
        <w:t>ing</w:t>
      </w:r>
      <w:r w:rsidR="001514C7">
        <w:t xml:space="preserve"> the heat rate of the unit</w:t>
      </w:r>
      <w:r w:rsidR="00F35E07">
        <w:t xml:space="preserve"> to reflect worse than expected performance</w:t>
      </w:r>
      <w:r w:rsidR="001514C7">
        <w:t xml:space="preserve"> based on guidance from rating agencies</w:t>
      </w:r>
      <w:r w:rsidR="00603030">
        <w:t>,</w:t>
      </w:r>
      <w:r w:rsidR="001832A7">
        <w:rPr>
          <w:rStyle w:val="FootnoteReference"/>
        </w:rPr>
        <w:footnoteReference w:id="12"/>
      </w:r>
    </w:p>
    <w:p w14:paraId="766FA26F" w14:textId="2245E6D2" w:rsidR="009E2A26" w:rsidRDefault="000F681D" w:rsidP="00603030">
      <w:pPr>
        <w:pStyle w:val="rptmainbodybullets1"/>
      </w:pPr>
      <w:r>
        <w:t xml:space="preserve">Determine </w:t>
      </w:r>
      <w:r w:rsidR="009E2A26">
        <w:t xml:space="preserve">the portion </w:t>
      </w:r>
      <w:r w:rsidR="00D303AB">
        <w:t>(i.e., percentile range)</w:t>
      </w:r>
      <w:r w:rsidR="009E2A26">
        <w:t xml:space="preserve"> of the </w:t>
      </w:r>
      <w:r w:rsidR="00091183">
        <w:t xml:space="preserve">revenue </w:t>
      </w:r>
      <w:r w:rsidR="009E2A26">
        <w:t xml:space="preserve">distribution where the </w:t>
      </w:r>
      <w:r w:rsidR="00797A0C">
        <w:t>DSCRs in the MOPR case correspond to the B+/BB- range (i.e.</w:t>
      </w:r>
      <w:r w:rsidR="00BB71AA">
        <w:t>,</w:t>
      </w:r>
      <w:r w:rsidR="00797A0C">
        <w:t xml:space="preserve"> </w:t>
      </w:r>
      <w:r w:rsidR="00603030">
        <w:t>1.27 to 1.53</w:t>
      </w:r>
      <w:r w:rsidR="004316CE">
        <w:t xml:space="preserve"> </w:t>
      </w:r>
      <w:r w:rsidR="00B44C2C">
        <w:t xml:space="preserve">based on the guidance in </w:t>
      </w:r>
      <w:r w:rsidR="004316CE">
        <w:fldChar w:fldCharType="begin"/>
      </w:r>
      <w:r w:rsidR="004316CE">
        <w:instrText xml:space="preserve"> REF _Ref86064512 \h </w:instrText>
      </w:r>
      <w:r w:rsidR="004316CE">
        <w:fldChar w:fldCharType="separate"/>
      </w:r>
      <w:r w:rsidR="004316CE">
        <w:t xml:space="preserve">Table </w:t>
      </w:r>
      <w:r w:rsidR="004316CE">
        <w:rPr>
          <w:noProof/>
        </w:rPr>
        <w:t>2</w:t>
      </w:r>
      <w:r w:rsidR="004316CE">
        <w:fldChar w:fldCharType="end"/>
      </w:r>
      <w:r w:rsidR="00603030">
        <w:t>),</w:t>
      </w:r>
      <w:r w:rsidR="00146EAA">
        <w:t xml:space="preserve"> which is the </w:t>
      </w:r>
      <w:r w:rsidR="00DB2C32">
        <w:t xml:space="preserve">rating </w:t>
      </w:r>
      <w:r w:rsidR="00146EAA">
        <w:t xml:space="preserve">range </w:t>
      </w:r>
      <w:r w:rsidR="00DB2C32">
        <w:t>assumed for developing the COD in the recent CONE study,</w:t>
      </w:r>
    </w:p>
    <w:p w14:paraId="35F8C6C9" w14:textId="52D26AFC" w:rsidR="00E603AB" w:rsidRDefault="00335388" w:rsidP="004A71D5">
      <w:pPr>
        <w:pStyle w:val="rptmainbodybullets1"/>
      </w:pPr>
      <w:r>
        <w:t>E</w:t>
      </w:r>
      <w:r w:rsidR="00603030">
        <w:t xml:space="preserve">stimate </w:t>
      </w:r>
      <w:r w:rsidR="0073361F">
        <w:t xml:space="preserve">Rating Case revenue and DSCR </w:t>
      </w:r>
      <w:r>
        <w:t>in</w:t>
      </w:r>
      <w:r w:rsidR="0023401C">
        <w:t xml:space="preserve"> the </w:t>
      </w:r>
      <w:r w:rsidR="00603030">
        <w:t>No MOPR</w:t>
      </w:r>
      <w:r w:rsidR="0023401C">
        <w:t xml:space="preserve"> case</w:t>
      </w:r>
      <w:r w:rsidR="00E603AB">
        <w:t xml:space="preserve"> </w:t>
      </w:r>
      <w:r w:rsidR="001E6C63">
        <w:t xml:space="preserve">based on </w:t>
      </w:r>
      <w:r w:rsidR="00707DAC">
        <w:t xml:space="preserve">the </w:t>
      </w:r>
      <w:r w:rsidR="00CE61C7">
        <w:t xml:space="preserve">revenues from the </w:t>
      </w:r>
      <w:r w:rsidR="00707DAC">
        <w:t xml:space="preserve">same </w:t>
      </w:r>
      <w:r w:rsidR="008B6399">
        <w:t>percentile range</w:t>
      </w:r>
      <w:r w:rsidR="00707DAC">
        <w:t xml:space="preserve"> of the revenue distribution</w:t>
      </w:r>
      <w:r w:rsidR="007F2F69">
        <w:t xml:space="preserve"> determined </w:t>
      </w:r>
      <w:r w:rsidR="00A11052">
        <w:t>in the previous step</w:t>
      </w:r>
      <w:r w:rsidR="00707DAC">
        <w:t xml:space="preserve">, </w:t>
      </w:r>
      <w:r w:rsidR="00E603AB">
        <w:t>and</w:t>
      </w:r>
    </w:p>
    <w:p w14:paraId="32509B00" w14:textId="0BD36F09" w:rsidR="00430CA1" w:rsidRDefault="000F681D" w:rsidP="006129C2">
      <w:pPr>
        <w:pStyle w:val="rptmainbodybullets1"/>
      </w:pPr>
      <w:r>
        <w:t>M</w:t>
      </w:r>
      <w:r w:rsidR="00E84DDD">
        <w:t>ap</w:t>
      </w:r>
      <w:r w:rsidR="00F1431C">
        <w:t xml:space="preserve"> </w:t>
      </w:r>
      <w:r w:rsidR="00E44972">
        <w:t xml:space="preserve">the </w:t>
      </w:r>
      <w:r w:rsidR="00E84DDD">
        <w:t xml:space="preserve">estimated </w:t>
      </w:r>
      <w:r w:rsidR="00EF1183">
        <w:t xml:space="preserve">Rating Case </w:t>
      </w:r>
      <w:r w:rsidR="00F1431C">
        <w:t>DSCR in the No MOPR case</w:t>
      </w:r>
      <w:r w:rsidR="00E84DDD">
        <w:t xml:space="preserve"> to a </w:t>
      </w:r>
      <w:r w:rsidR="00D765DA">
        <w:t xml:space="preserve">specific </w:t>
      </w:r>
      <w:r w:rsidR="001231DF">
        <w:t xml:space="preserve">COD </w:t>
      </w:r>
      <w:r w:rsidR="00D765DA">
        <w:t xml:space="preserve">using </w:t>
      </w:r>
      <w:r w:rsidR="009134DB">
        <w:fldChar w:fldCharType="begin"/>
      </w:r>
      <w:r w:rsidR="009134DB">
        <w:instrText xml:space="preserve"> REF _Ref86064512 \h </w:instrText>
      </w:r>
      <w:r w:rsidR="009134DB">
        <w:fldChar w:fldCharType="separate"/>
      </w:r>
      <w:r w:rsidR="009134DB">
        <w:t xml:space="preserve">Table </w:t>
      </w:r>
      <w:r w:rsidR="009134DB">
        <w:rPr>
          <w:noProof/>
        </w:rPr>
        <w:t>2</w:t>
      </w:r>
      <w:r w:rsidR="009134DB">
        <w:fldChar w:fldCharType="end"/>
      </w:r>
      <w:r w:rsidR="00D765DA">
        <w:t xml:space="preserve"> and </w:t>
      </w:r>
      <w:r w:rsidR="00796E18">
        <w:t xml:space="preserve">the </w:t>
      </w:r>
      <w:r w:rsidR="00A1550F" w:rsidRPr="00A1550F">
        <w:t xml:space="preserve">yields for B and BB-rated </w:t>
      </w:r>
      <w:r w:rsidR="00A1550F">
        <w:t xml:space="preserve">corporate </w:t>
      </w:r>
      <w:r w:rsidR="00A1550F" w:rsidRPr="00A1550F">
        <w:t>bonds</w:t>
      </w:r>
      <w:r w:rsidR="00653AA4">
        <w:t>.</w:t>
      </w:r>
      <w:r w:rsidR="001E754F">
        <w:rPr>
          <w:rStyle w:val="FootnoteReference"/>
        </w:rPr>
        <w:footnoteReference w:id="13"/>
      </w:r>
    </w:p>
    <w:p w14:paraId="6DFCE0B9" w14:textId="30FC1E4A" w:rsidR="00B36F7F" w:rsidRDefault="00B36F7F" w:rsidP="00650FE9">
      <w:pPr>
        <w:pStyle w:val="rptmainbodytext"/>
      </w:pPr>
      <w:r>
        <w:t xml:space="preserve">In summary, we </w:t>
      </w:r>
      <w:r w:rsidR="001035AB">
        <w:t xml:space="preserve">first </w:t>
      </w:r>
      <w:r>
        <w:t xml:space="preserve">the </w:t>
      </w:r>
      <w:r w:rsidR="00FB0FBC">
        <w:t xml:space="preserve">baseline </w:t>
      </w:r>
      <w:r w:rsidR="001035AB">
        <w:t xml:space="preserve">level of </w:t>
      </w:r>
      <w:r w:rsidR="00FD30FB">
        <w:t xml:space="preserve">market </w:t>
      </w:r>
      <w:r w:rsidR="001035AB">
        <w:t xml:space="preserve">stress in </w:t>
      </w:r>
      <w:r w:rsidR="00FD30FB">
        <w:t>the MOPR case</w:t>
      </w:r>
      <w:r w:rsidR="00FB0FBC">
        <w:t xml:space="preserve"> that is associated with the COD from the CONE Study</w:t>
      </w:r>
      <w:r w:rsidR="00FD30FB">
        <w:t>, and</w:t>
      </w:r>
      <w:r w:rsidR="0088755A">
        <w:t xml:space="preserve"> then we</w:t>
      </w:r>
      <w:r w:rsidR="00FD30FB">
        <w:t xml:space="preserve"> stress </w:t>
      </w:r>
      <w:r w:rsidR="0088729E">
        <w:t xml:space="preserve">the project cash flows to a similar degree in the No MOPR case to determine the DSCR and </w:t>
      </w:r>
      <w:r w:rsidR="00145F24">
        <w:t>COD in the No MOPR case.</w:t>
      </w:r>
    </w:p>
    <w:p w14:paraId="52FF39A4" w14:textId="22F4B3A7" w:rsidR="00650FE9" w:rsidRDefault="009F103A" w:rsidP="00650FE9">
      <w:pPr>
        <w:pStyle w:val="rptmainbodytext"/>
      </w:pPr>
      <w:r>
        <w:t>To</w:t>
      </w:r>
      <w:r w:rsidR="005C5B35">
        <w:t xml:space="preserve"> illustrat</w:t>
      </w:r>
      <w:r>
        <w:t>e</w:t>
      </w:r>
      <w:r w:rsidR="005C5B35">
        <w:t xml:space="preserve"> </w:t>
      </w:r>
      <w:r w:rsidR="00F97235">
        <w:t xml:space="preserve">this </w:t>
      </w:r>
      <w:r w:rsidR="005C5B35">
        <w:t>methodology, c</w:t>
      </w:r>
      <w:r w:rsidR="00EE3441">
        <w:t xml:space="preserve">onsider </w:t>
      </w:r>
      <w:r w:rsidR="00994D3F">
        <w:fldChar w:fldCharType="begin"/>
      </w:r>
      <w:r w:rsidR="00994D3F">
        <w:instrText xml:space="preserve"> REF _Ref86064588 \h </w:instrText>
      </w:r>
      <w:r w:rsidR="00994D3F">
        <w:fldChar w:fldCharType="separate"/>
      </w:r>
      <w:r w:rsidR="00994D3F">
        <w:t xml:space="preserve">Figure </w:t>
      </w:r>
      <w:r w:rsidR="00994D3F">
        <w:rPr>
          <w:noProof/>
        </w:rPr>
        <w:t>5</w:t>
      </w:r>
      <w:r w:rsidR="00994D3F">
        <w:fldChar w:fldCharType="end"/>
      </w:r>
      <w:r w:rsidR="00766AE9">
        <w:t xml:space="preserve"> </w:t>
      </w:r>
      <w:r w:rsidR="00EE3441">
        <w:t xml:space="preserve">which </w:t>
      </w:r>
      <w:r w:rsidR="00C70901">
        <w:t xml:space="preserve">shows </w:t>
      </w:r>
      <w:r w:rsidR="0086313F">
        <w:t xml:space="preserve">(a) </w:t>
      </w:r>
      <w:r w:rsidR="00AE2FF4">
        <w:t xml:space="preserve">the </w:t>
      </w:r>
      <w:r w:rsidR="00E32002">
        <w:t xml:space="preserve">illustrative </w:t>
      </w:r>
      <w:r w:rsidR="00C70901">
        <w:t>distribution</w:t>
      </w:r>
      <w:r w:rsidR="00BB5CFF">
        <w:t>s</w:t>
      </w:r>
      <w:r w:rsidR="00C70901">
        <w:t xml:space="preserve"> of the total revenues for the reference unit in the MOPR </w:t>
      </w:r>
      <w:r w:rsidR="00860983">
        <w:t>case</w:t>
      </w:r>
      <w:r w:rsidR="00C70901">
        <w:t xml:space="preserve"> and </w:t>
      </w:r>
      <w:r w:rsidR="00860983">
        <w:t xml:space="preserve">in the </w:t>
      </w:r>
      <w:r w:rsidR="00C70901">
        <w:t>No MOPR case</w:t>
      </w:r>
      <w:r w:rsidR="00860983">
        <w:t xml:space="preserve"> before adjusting </w:t>
      </w:r>
      <w:r w:rsidR="003847B5">
        <w:t>capital cost parameters</w:t>
      </w:r>
      <w:r w:rsidR="0086313F">
        <w:t xml:space="preserve">, (b) </w:t>
      </w:r>
      <w:r w:rsidR="00C70901">
        <w:t xml:space="preserve">the portion of the distribution </w:t>
      </w:r>
      <w:r w:rsidR="00BB5CFF">
        <w:t xml:space="preserve">where the </w:t>
      </w:r>
      <w:r w:rsidR="00411C46">
        <w:t>revenues</w:t>
      </w:r>
      <w:r w:rsidR="00BB5CFF">
        <w:t xml:space="preserve"> correspond to </w:t>
      </w:r>
      <w:r w:rsidR="00E9623B">
        <w:t>a B+/BB- rating</w:t>
      </w:r>
      <w:r w:rsidR="00F0427B">
        <w:t xml:space="preserve"> (</w:t>
      </w:r>
      <w:r w:rsidR="00374EFF">
        <w:t xml:space="preserve">i.e. </w:t>
      </w:r>
      <w:r w:rsidR="003847B5">
        <w:t>where the</w:t>
      </w:r>
      <w:r w:rsidR="00374EFF">
        <w:t xml:space="preserve"> DSCR is between 1.27 and 1.53</w:t>
      </w:r>
      <w:r w:rsidR="00F0427B">
        <w:t>)</w:t>
      </w:r>
      <w:r w:rsidR="005E2DD3">
        <w:t xml:space="preserve"> in the MOPR </w:t>
      </w:r>
      <w:r w:rsidR="005E2DD3">
        <w:lastRenderedPageBreak/>
        <w:t>case</w:t>
      </w:r>
      <w:r w:rsidR="00766AE9">
        <w:t xml:space="preserve"> (</w:t>
      </w:r>
      <w:r w:rsidR="00371EFB">
        <w:t xml:space="preserve">which is </w:t>
      </w:r>
      <w:r w:rsidR="00766AE9">
        <w:t xml:space="preserve">labeled as </w:t>
      </w:r>
      <w:r w:rsidR="00371EFB">
        <w:t>“</w:t>
      </w:r>
      <w:r w:rsidR="00766AE9" w:rsidRPr="00A9049C">
        <w:t xml:space="preserve">Rating Case </w:t>
      </w:r>
      <w:r w:rsidR="00371EFB">
        <w:t>R</w:t>
      </w:r>
      <w:r w:rsidR="00371EFB" w:rsidRPr="00A9049C">
        <w:t>ange</w:t>
      </w:r>
      <w:r w:rsidR="00371EFB">
        <w:t>”</w:t>
      </w:r>
      <w:r w:rsidR="00766AE9">
        <w:t>)</w:t>
      </w:r>
      <w:r w:rsidR="00F0427B">
        <w:t xml:space="preserve">, and (c) the </w:t>
      </w:r>
      <w:r w:rsidR="000B6958">
        <w:t xml:space="preserve">average and </w:t>
      </w:r>
      <w:r w:rsidR="00E3431F">
        <w:t>R</w:t>
      </w:r>
      <w:r w:rsidR="00E70013">
        <w:t xml:space="preserve">ating </w:t>
      </w:r>
      <w:r w:rsidR="00E3431F">
        <w:t>C</w:t>
      </w:r>
      <w:r w:rsidR="00E70013">
        <w:t>ase</w:t>
      </w:r>
      <w:r w:rsidR="000A58E1">
        <w:t xml:space="preserve"> </w:t>
      </w:r>
      <w:r w:rsidR="00E70013">
        <w:t>revenue</w:t>
      </w:r>
      <w:r w:rsidR="005E2DD3">
        <w:t>s in the MOPR and No MOPR cases.</w:t>
      </w:r>
    </w:p>
    <w:p w14:paraId="16196F46" w14:textId="386C1D53" w:rsidR="00537DE8" w:rsidRDefault="00AD7C2D" w:rsidP="006129C2">
      <w:pPr>
        <w:pStyle w:val="rptmainbodyfiguretitle1"/>
      </w:pPr>
      <w:bookmarkStart w:id="922" w:name="_Ref86064588"/>
      <w:bookmarkStart w:id="923" w:name="_Toc86727534"/>
      <w:r>
        <w:t xml:space="preserve">Figure </w:t>
      </w:r>
      <w:r>
        <w:fldChar w:fldCharType="begin"/>
      </w:r>
      <w:r>
        <w:instrText>SEQ Figure \* ARABIC</w:instrText>
      </w:r>
      <w:r>
        <w:fldChar w:fldCharType="separate"/>
      </w:r>
      <w:r w:rsidR="00401666">
        <w:rPr>
          <w:noProof/>
        </w:rPr>
        <w:t>5</w:t>
      </w:r>
      <w:r>
        <w:fldChar w:fldCharType="end"/>
      </w:r>
      <w:bookmarkEnd w:id="922"/>
      <w:r>
        <w:t>:</w:t>
      </w:r>
      <w:r w:rsidR="003E2F0A">
        <w:t xml:space="preserve"> </w:t>
      </w:r>
      <w:r w:rsidR="00246FC6">
        <w:t xml:space="preserve">Illustrative </w:t>
      </w:r>
      <w:r w:rsidR="00246FC6" w:rsidRPr="00246FC6">
        <w:t>Revenue Distributions</w:t>
      </w:r>
      <w:r w:rsidR="00246FC6">
        <w:t xml:space="preserve"> in the MOPR and No MOPR Cases</w:t>
      </w:r>
      <w:bookmarkEnd w:id="923"/>
    </w:p>
    <w:p w14:paraId="672CF0F1" w14:textId="39C10DDD" w:rsidR="00246FC6" w:rsidRDefault="00246FC6" w:rsidP="006129C2">
      <w:pPr>
        <w:pStyle w:val="rptmainbodyfiguretitle2"/>
      </w:pPr>
      <w:r>
        <w:t>Before adjusting WACC parameters</w:t>
      </w:r>
    </w:p>
    <w:p w14:paraId="61D998B2" w14:textId="69A0E4AE" w:rsidR="00DD3CD3" w:rsidRDefault="00FF0A1B" w:rsidP="006129C2">
      <w:pPr>
        <w:pStyle w:val="rptmainbodyfigure"/>
      </w:pPr>
      <w:r w:rsidRPr="00FF0A1B">
        <w:drawing>
          <wp:inline distT="0" distB="0" distL="0" distR="0" wp14:anchorId="779FA1FC" wp14:editId="3603FDD1">
            <wp:extent cx="5943600" cy="3676637"/>
            <wp:effectExtent l="0" t="0" r="0" b="635"/>
            <wp:docPr id="468" name="Picture 46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rotWithShape="1">
                    <a:blip r:embed="rId32" cstate="print">
                      <a:extLst>
                        <a:ext uri="{28A0092B-C50C-407E-A947-70E740481C1C}">
                          <a14:useLocalDpi xmlns:a14="http://schemas.microsoft.com/office/drawing/2010/main" val="0"/>
                        </a:ext>
                      </a:extLst>
                    </a:blip>
                    <a:srcRect t="14703"/>
                    <a:stretch/>
                  </pic:blipFill>
                  <pic:spPr bwMode="auto">
                    <a:xfrm>
                      <a:off x="0" y="0"/>
                      <a:ext cx="5943600" cy="3676637"/>
                    </a:xfrm>
                    <a:prstGeom prst="rect">
                      <a:avLst/>
                    </a:prstGeom>
                    <a:noFill/>
                    <a:ln>
                      <a:noFill/>
                    </a:ln>
                    <a:extLst>
                      <a:ext uri="{53640926-AAD7-44D8-BBD7-CCE9431645EC}">
                        <a14:shadowObscured xmlns:a14="http://schemas.microsoft.com/office/drawing/2010/main"/>
                      </a:ext>
                    </a:extLst>
                  </pic:spPr>
                </pic:pic>
              </a:graphicData>
            </a:graphic>
          </wp:inline>
        </w:drawing>
      </w:r>
    </w:p>
    <w:p w14:paraId="446B21B3" w14:textId="77777777" w:rsidR="00E23F5D" w:rsidRDefault="00DA59CF" w:rsidP="00650FE9">
      <w:pPr>
        <w:pStyle w:val="rptmainbodytext"/>
      </w:pPr>
      <w:r>
        <w:t xml:space="preserve">In the above figure, </w:t>
      </w:r>
      <w:r w:rsidR="00131896">
        <w:t xml:space="preserve">the </w:t>
      </w:r>
      <w:r w:rsidR="00D31953">
        <w:t xml:space="preserve">DSCRs </w:t>
      </w:r>
      <w:r w:rsidR="006013A9">
        <w:t>commensurate with a</w:t>
      </w:r>
      <w:r w:rsidR="00D31953">
        <w:t xml:space="preserve"> </w:t>
      </w:r>
      <w:r w:rsidR="00901A48">
        <w:t xml:space="preserve">B+/BB- </w:t>
      </w:r>
      <w:r w:rsidR="0070109D">
        <w:t>rating</w:t>
      </w:r>
      <w:r w:rsidR="00901A48">
        <w:t xml:space="preserve"> in the MOPR case</w:t>
      </w:r>
      <w:r w:rsidR="00A9049C">
        <w:t xml:space="preserve"> </w:t>
      </w:r>
      <w:r w:rsidR="00901A48">
        <w:t xml:space="preserve">correspond to approximately </w:t>
      </w:r>
      <w:r w:rsidR="004A3925">
        <w:t>5</w:t>
      </w:r>
      <w:r w:rsidR="00C27F09" w:rsidRPr="006129C2">
        <w:rPr>
          <w:vertAlign w:val="superscript"/>
        </w:rPr>
        <w:t>th</w:t>
      </w:r>
      <w:r w:rsidR="00C27F09">
        <w:t xml:space="preserve"> to 1</w:t>
      </w:r>
      <w:r w:rsidR="004A3925">
        <w:t>2</w:t>
      </w:r>
      <w:r w:rsidR="00C27F09" w:rsidRPr="006129C2">
        <w:rPr>
          <w:vertAlign w:val="superscript"/>
        </w:rPr>
        <w:t>th</w:t>
      </w:r>
      <w:r w:rsidR="00C27F09">
        <w:t xml:space="preserve"> percentile of the revenue distribution</w:t>
      </w:r>
      <w:r w:rsidR="009E7364">
        <w:t xml:space="preserve"> (shown as the Rating Case range)</w:t>
      </w:r>
      <w:r w:rsidR="00C27F09">
        <w:t xml:space="preserve">.  </w:t>
      </w:r>
      <w:r w:rsidR="000D11DA">
        <w:t xml:space="preserve">Although the average revenue across the 2000 realizations is </w:t>
      </w:r>
      <w:r w:rsidR="00EE68B0">
        <w:t xml:space="preserve">the </w:t>
      </w:r>
      <w:r w:rsidR="000D11DA">
        <w:t>same</w:t>
      </w:r>
      <w:r w:rsidR="00E519D4">
        <w:t xml:space="preserve"> in both MOPR and No MOPR cases</w:t>
      </w:r>
      <w:r w:rsidR="000D11DA">
        <w:t>, t</w:t>
      </w:r>
      <w:r w:rsidR="00F155ED">
        <w:t xml:space="preserve">he average revenue in </w:t>
      </w:r>
      <w:r w:rsidR="000D11DA">
        <w:t>the Rating Case</w:t>
      </w:r>
      <w:r w:rsidR="00F155ED">
        <w:t xml:space="preserve"> </w:t>
      </w:r>
      <w:r w:rsidR="00C72195">
        <w:t>range</w:t>
      </w:r>
      <w:r w:rsidR="00F155ED">
        <w:t xml:space="preserve"> is </w:t>
      </w:r>
      <w:r w:rsidR="00193D2F">
        <w:t>eight</w:t>
      </w:r>
      <w:r w:rsidR="000E4466">
        <w:t xml:space="preserve"> </w:t>
      </w:r>
      <w:r w:rsidR="00CB149F">
        <w:t>percent lower</w:t>
      </w:r>
      <w:r w:rsidR="000E4466">
        <w:t xml:space="preserve"> in the No MOPR case</w:t>
      </w:r>
      <w:r w:rsidR="00C72195">
        <w:t xml:space="preserve">.  </w:t>
      </w:r>
    </w:p>
    <w:p w14:paraId="399EA853" w14:textId="55C67FC8" w:rsidR="00F75B73" w:rsidRDefault="00994D3F" w:rsidP="00657677">
      <w:pPr>
        <w:pStyle w:val="rptmainbodytext"/>
      </w:pPr>
      <w:r>
        <w:fldChar w:fldCharType="begin"/>
      </w:r>
      <w:r>
        <w:instrText xml:space="preserve"> REF _Ref86064608 \h </w:instrText>
      </w:r>
      <w:r>
        <w:fldChar w:fldCharType="separate"/>
      </w:r>
      <w:r>
        <w:t xml:space="preserve">Table </w:t>
      </w:r>
      <w:r>
        <w:rPr>
          <w:noProof/>
        </w:rPr>
        <w:t>3</w:t>
      </w:r>
      <w:r>
        <w:fldChar w:fldCharType="end"/>
      </w:r>
      <w:r>
        <w:t xml:space="preserve"> </w:t>
      </w:r>
      <w:r w:rsidR="00FC763B">
        <w:t xml:space="preserve">illustrates the derivation of </w:t>
      </w:r>
      <w:r w:rsidR="00CC2D70">
        <w:t xml:space="preserve">the Rating Case </w:t>
      </w:r>
      <w:r w:rsidR="00FC763B">
        <w:t>DSCRs in the MOPR and No MOPR cases.</w:t>
      </w:r>
      <w:r w:rsidR="005475E3">
        <w:t xml:space="preserve">  </w:t>
      </w:r>
      <w:r w:rsidR="00657677">
        <w:t>It shows that</w:t>
      </w:r>
      <w:r w:rsidR="008F5F77">
        <w:t xml:space="preserve"> </w:t>
      </w:r>
      <w:r w:rsidR="004F21EA">
        <w:t>the Rating Case DSCR</w:t>
      </w:r>
      <w:r w:rsidR="008F5F77">
        <w:t xml:space="preserve"> </w:t>
      </w:r>
      <w:r w:rsidR="004F21EA">
        <w:t>declin</w:t>
      </w:r>
      <w:r w:rsidR="00963BFE">
        <w:t>es</w:t>
      </w:r>
      <w:r w:rsidR="004F21EA">
        <w:t xml:space="preserve"> </w:t>
      </w:r>
      <w:r w:rsidR="00822A86">
        <w:t xml:space="preserve">from </w:t>
      </w:r>
      <w:r w:rsidR="007C03DA">
        <w:t>1.</w:t>
      </w:r>
      <w:r w:rsidR="009D5C7D">
        <w:t>4</w:t>
      </w:r>
      <w:r w:rsidR="001F577D">
        <w:t>1</w:t>
      </w:r>
      <w:r w:rsidR="007C03DA">
        <w:t xml:space="preserve"> in the MOPR case</w:t>
      </w:r>
      <w:r w:rsidR="004F21EA">
        <w:t xml:space="preserve"> to 1.1</w:t>
      </w:r>
      <w:r w:rsidR="00612A0A">
        <w:t>0</w:t>
      </w:r>
      <w:r w:rsidR="004F21EA">
        <w:t xml:space="preserve"> in the No MOPR case</w:t>
      </w:r>
      <w:r w:rsidR="004C6B0F">
        <w:t xml:space="preserve">.  </w:t>
      </w:r>
      <w:r w:rsidR="005D02D5">
        <w:t xml:space="preserve">To </w:t>
      </w:r>
      <w:r w:rsidR="007F166A">
        <w:t>map</w:t>
      </w:r>
      <w:r w:rsidR="005D02D5">
        <w:t xml:space="preserve"> the Rating Case DSCR into a COD, we </w:t>
      </w:r>
      <w:r w:rsidR="007F166A">
        <w:t xml:space="preserve">developed a </w:t>
      </w:r>
      <w:r w:rsidR="00195D4F">
        <w:t xml:space="preserve">function that relates </w:t>
      </w:r>
      <w:r w:rsidR="007F166A">
        <w:t xml:space="preserve">these two parameters </w:t>
      </w:r>
      <w:r w:rsidR="009D4B04">
        <w:t>considering</w:t>
      </w:r>
      <w:r w:rsidR="001F5FED">
        <w:t xml:space="preserve"> the </w:t>
      </w:r>
      <w:r w:rsidR="00822A86">
        <w:t xml:space="preserve">corporate bond </w:t>
      </w:r>
      <w:r w:rsidR="001F5FED">
        <w:t xml:space="preserve">yields in </w:t>
      </w:r>
      <w:r w:rsidR="00822A86">
        <w:t xml:space="preserve">the first half of 2020 and </w:t>
      </w:r>
      <w:r w:rsidR="00582D5B">
        <w:t xml:space="preserve">the Fitch Ratings guidance contained in </w:t>
      </w:r>
      <w:r w:rsidR="009134DB">
        <w:fldChar w:fldCharType="begin"/>
      </w:r>
      <w:r w:rsidR="009134DB">
        <w:instrText xml:space="preserve"> REF _Ref86064512 \h </w:instrText>
      </w:r>
      <w:r w:rsidR="009134DB">
        <w:fldChar w:fldCharType="separate"/>
      </w:r>
      <w:r w:rsidR="009134DB">
        <w:t xml:space="preserve">Table </w:t>
      </w:r>
      <w:r w:rsidR="009134DB">
        <w:rPr>
          <w:noProof/>
        </w:rPr>
        <w:t>2</w:t>
      </w:r>
      <w:r w:rsidR="009134DB">
        <w:fldChar w:fldCharType="end"/>
      </w:r>
      <w:r w:rsidR="00CB4B91">
        <w:t>.</w:t>
      </w:r>
      <w:r w:rsidR="006545F1">
        <w:rPr>
          <w:rStyle w:val="FootnoteReference"/>
        </w:rPr>
        <w:footnoteReference w:id="14"/>
      </w:r>
      <w:r w:rsidR="00CB4B91">
        <w:t xml:space="preserve">  </w:t>
      </w:r>
    </w:p>
    <w:p w14:paraId="453712D5" w14:textId="27030334" w:rsidR="006F2B46" w:rsidRDefault="00CB4B91">
      <w:pPr>
        <w:pStyle w:val="rptmainbodytext"/>
      </w:pPr>
      <w:r>
        <w:fldChar w:fldCharType="begin"/>
      </w:r>
      <w:r>
        <w:instrText xml:space="preserve"> REF _Ref86064632 \h </w:instrText>
      </w:r>
      <w:r>
        <w:fldChar w:fldCharType="separate"/>
      </w:r>
      <w:r>
        <w:t xml:space="preserve">Figure </w:t>
      </w:r>
      <w:r>
        <w:rPr>
          <w:noProof/>
        </w:rPr>
        <w:t>6</w:t>
      </w:r>
      <w:r>
        <w:fldChar w:fldCharType="end"/>
      </w:r>
      <w:r>
        <w:t xml:space="preserve"> shows</w:t>
      </w:r>
      <w:r w:rsidR="0081546B">
        <w:t>: (a)</w:t>
      </w:r>
      <w:r>
        <w:t xml:space="preserve"> our assumed </w:t>
      </w:r>
      <w:r w:rsidR="00885D4F">
        <w:t xml:space="preserve">COD as a function of the </w:t>
      </w:r>
      <w:r>
        <w:t>Rating.Case DSCR</w:t>
      </w:r>
      <w:r w:rsidR="00835581">
        <w:t xml:space="preserve">, and </w:t>
      </w:r>
      <w:r w:rsidR="0081546B">
        <w:t xml:space="preserve">(b) </w:t>
      </w:r>
      <w:r w:rsidR="00835581">
        <w:t xml:space="preserve">the COD </w:t>
      </w:r>
      <w:r w:rsidR="00AB7811">
        <w:t>for a Rating Case DSCR of 1.1</w:t>
      </w:r>
      <w:r w:rsidR="00102E7C">
        <w:t>0</w:t>
      </w:r>
      <w:r>
        <w:t xml:space="preserve">.  </w:t>
      </w:r>
      <w:r w:rsidR="00AB7811">
        <w:t>As shown</w:t>
      </w:r>
      <w:r w:rsidR="009D4B04">
        <w:t xml:space="preserve">, we </w:t>
      </w:r>
      <w:r w:rsidR="007C03DA">
        <w:t xml:space="preserve">estimate the COD in the No MOPR case </w:t>
      </w:r>
      <w:r w:rsidR="00FF0BDE">
        <w:t xml:space="preserve">in our illustrative example to be </w:t>
      </w:r>
      <w:r w:rsidR="00BE2A3E">
        <w:t>8.1</w:t>
      </w:r>
      <w:r w:rsidR="007C03DA">
        <w:t xml:space="preserve"> percent.</w:t>
      </w:r>
    </w:p>
    <w:p w14:paraId="56C1D35E" w14:textId="77777777" w:rsidR="008B2B72" w:rsidRDefault="008B2B72" w:rsidP="008B2B72">
      <w:pPr>
        <w:pStyle w:val="rptmainbodyfiguretitle1"/>
      </w:pPr>
      <w:bookmarkStart w:id="924" w:name="_Ref86064632"/>
      <w:bookmarkStart w:id="925" w:name="_Toc86727535"/>
      <w:r>
        <w:lastRenderedPageBreak/>
        <w:t xml:space="preserve">Table </w:t>
      </w:r>
      <w:r w:rsidR="00B32DE0">
        <w:fldChar w:fldCharType="begin"/>
      </w:r>
      <w:r w:rsidR="00B32DE0">
        <w:instrText xml:space="preserve"> SEQ Table \* ARABIC </w:instrText>
      </w:r>
      <w:r w:rsidR="00B32DE0">
        <w:fldChar w:fldCharType="separate"/>
      </w:r>
      <w:r>
        <w:rPr>
          <w:noProof/>
        </w:rPr>
        <w:t>3</w:t>
      </w:r>
      <w:r w:rsidR="00B32DE0">
        <w:rPr>
          <w:noProof/>
        </w:rPr>
        <w:fldChar w:fldCharType="end"/>
      </w:r>
      <w:r>
        <w:t xml:space="preserve">: Illustrative Calculation of DSCR in the MOPR and No MOPR Rating Cases </w:t>
      </w:r>
    </w:p>
    <w:p w14:paraId="64D6AF7D" w14:textId="77777777" w:rsidR="008B2B72" w:rsidRDefault="008B2B72" w:rsidP="008B2B72">
      <w:pPr>
        <w:pStyle w:val="rptmainbodyfigure"/>
      </w:pPr>
      <w:r w:rsidRPr="007A1BC8">
        <w:drawing>
          <wp:inline distT="0" distB="0" distL="0" distR="0" wp14:anchorId="1B172F4C" wp14:editId="637E24C3">
            <wp:extent cx="4389120" cy="2749875"/>
            <wp:effectExtent l="0" t="0" r="0" b="0"/>
            <wp:docPr id="18" name="Pictur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rotWithShape="1">
                    <a:blip r:embed="rId33" cstate="print">
                      <a:extLst>
                        <a:ext uri="{28A0092B-C50C-407E-A947-70E740481C1C}">
                          <a14:useLocalDpi xmlns:a14="http://schemas.microsoft.com/office/drawing/2010/main" val="0"/>
                        </a:ext>
                      </a:extLst>
                    </a:blip>
                    <a:srcRect l="8867" t="4637" r="9188" b="6720"/>
                    <a:stretch/>
                  </pic:blipFill>
                  <pic:spPr bwMode="auto">
                    <a:xfrm>
                      <a:off x="0" y="0"/>
                      <a:ext cx="4389120" cy="2749875"/>
                    </a:xfrm>
                    <a:prstGeom prst="rect">
                      <a:avLst/>
                    </a:prstGeom>
                    <a:noFill/>
                    <a:ln>
                      <a:noFill/>
                    </a:ln>
                    <a:extLst>
                      <a:ext uri="{53640926-AAD7-44D8-BBD7-CCE9431645EC}">
                        <a14:shadowObscured xmlns:a14="http://schemas.microsoft.com/office/drawing/2010/main"/>
                      </a:ext>
                    </a:extLst>
                  </pic:spPr>
                </pic:pic>
              </a:graphicData>
            </a:graphic>
          </wp:inline>
        </w:drawing>
      </w:r>
      <w:r w:rsidRPr="00854336">
        <w:t xml:space="preserve"> </w:t>
      </w:r>
    </w:p>
    <w:p w14:paraId="600C7D51" w14:textId="77777777" w:rsidR="00094034" w:rsidRDefault="00094034" w:rsidP="008B2B72">
      <w:pPr>
        <w:pStyle w:val="rptmainbodyfigure"/>
      </w:pPr>
    </w:p>
    <w:p w14:paraId="04B4422B" w14:textId="77777777" w:rsidR="00094034" w:rsidRDefault="00094034" w:rsidP="008B2B72">
      <w:pPr>
        <w:pStyle w:val="rptmainbodyfigure"/>
      </w:pPr>
    </w:p>
    <w:p w14:paraId="268D3CA9" w14:textId="25D7AA7E" w:rsidR="00CF7CB4" w:rsidRDefault="003E2F0A" w:rsidP="006129C2">
      <w:pPr>
        <w:pStyle w:val="rptmainbodyfiguretitle1"/>
      </w:pPr>
      <w:r>
        <w:t xml:space="preserve">Figure </w:t>
      </w:r>
      <w:r>
        <w:fldChar w:fldCharType="begin"/>
      </w:r>
      <w:r>
        <w:instrText>SEQ Figure \* ARABIC</w:instrText>
      </w:r>
      <w:r>
        <w:fldChar w:fldCharType="separate"/>
      </w:r>
      <w:r w:rsidR="00401666">
        <w:rPr>
          <w:noProof/>
        </w:rPr>
        <w:t>6</w:t>
      </w:r>
      <w:r>
        <w:fldChar w:fldCharType="end"/>
      </w:r>
      <w:bookmarkEnd w:id="924"/>
      <w:r>
        <w:t>:</w:t>
      </w:r>
      <w:r w:rsidR="00102B87">
        <w:t xml:space="preserve"> Assumed Relationship between </w:t>
      </w:r>
      <w:r w:rsidR="009C2BB6">
        <w:t>Cost of Debt and Rating Case DSCR</w:t>
      </w:r>
      <w:bookmarkEnd w:id="925"/>
    </w:p>
    <w:p w14:paraId="26CD0EA6" w14:textId="23AA3FB3" w:rsidR="007C03DA" w:rsidRPr="000A4792" w:rsidRDefault="005C0800" w:rsidP="006129C2">
      <w:pPr>
        <w:pStyle w:val="rptmainbodyfigure"/>
      </w:pPr>
      <w:r w:rsidRPr="005C0800">
        <w:drawing>
          <wp:inline distT="0" distB="0" distL="0" distR="0" wp14:anchorId="4C65F819" wp14:editId="2BF3255E">
            <wp:extent cx="5427980" cy="3757040"/>
            <wp:effectExtent l="0" t="0" r="1270" b="0"/>
            <wp:docPr id="464" name="Picture 46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rotWithShape="1">
                    <a:blip r:embed="rId34" cstate="print">
                      <a:extLst>
                        <a:ext uri="{28A0092B-C50C-407E-A947-70E740481C1C}">
                          <a14:useLocalDpi xmlns:a14="http://schemas.microsoft.com/office/drawing/2010/main" val="0"/>
                        </a:ext>
                      </a:extLst>
                    </a:blip>
                    <a:srcRect l="1009" t="8424" r="3098"/>
                    <a:stretch/>
                  </pic:blipFill>
                  <pic:spPr bwMode="auto">
                    <a:xfrm>
                      <a:off x="0" y="0"/>
                      <a:ext cx="5429240" cy="3757912"/>
                    </a:xfrm>
                    <a:prstGeom prst="rect">
                      <a:avLst/>
                    </a:prstGeom>
                    <a:noFill/>
                    <a:ln>
                      <a:noFill/>
                    </a:ln>
                    <a:extLst>
                      <a:ext uri="{53640926-AAD7-44D8-BBD7-CCE9431645EC}">
                        <a14:shadowObscured xmlns:a14="http://schemas.microsoft.com/office/drawing/2010/main"/>
                      </a:ext>
                    </a:extLst>
                  </pic:spPr>
                </pic:pic>
              </a:graphicData>
            </a:graphic>
          </wp:inline>
        </w:drawing>
      </w:r>
    </w:p>
    <w:p w14:paraId="7D56102D" w14:textId="2DC6FF22" w:rsidR="00BE2284" w:rsidRDefault="00BE2284" w:rsidP="00997902">
      <w:pPr>
        <w:pStyle w:val="rptmainbodyheading3"/>
      </w:pPr>
      <w:bookmarkStart w:id="926" w:name="_Ref85456725"/>
      <w:r>
        <w:lastRenderedPageBreak/>
        <w:t>Estimating Change in WACC due to Eliminating MOPR – Modeling Steps</w:t>
      </w:r>
      <w:bookmarkEnd w:id="926"/>
    </w:p>
    <w:p w14:paraId="0E8138ED" w14:textId="214D6371" w:rsidR="006B4866" w:rsidRDefault="006B4866" w:rsidP="006B4866">
      <w:pPr>
        <w:pStyle w:val="rptmainbodytext"/>
      </w:pPr>
      <w:r>
        <w:t xml:space="preserve">In this </w:t>
      </w:r>
      <w:r w:rsidR="00C06A87">
        <w:t xml:space="preserve">part of the </w:t>
      </w:r>
      <w:r>
        <w:t xml:space="preserve">subsection, we detail each of the steps </w:t>
      </w:r>
      <w:r w:rsidR="00C06A87">
        <w:t>used</w:t>
      </w:r>
      <w:r>
        <w:t xml:space="preserve"> in the model for estimating the change in WACC </w:t>
      </w:r>
      <w:r w:rsidR="003C0F97">
        <w:t xml:space="preserve">that is </w:t>
      </w:r>
      <w:r>
        <w:t xml:space="preserve">due to MOPR elimination.  </w:t>
      </w:r>
      <w:r w:rsidR="00E832A2">
        <w:fldChar w:fldCharType="begin"/>
      </w:r>
      <w:r w:rsidR="00E832A2">
        <w:instrText xml:space="preserve"> REF _Ref86064673 \h </w:instrText>
      </w:r>
      <w:r w:rsidR="00E832A2">
        <w:fldChar w:fldCharType="separate"/>
      </w:r>
      <w:r w:rsidR="00E832A2">
        <w:t xml:space="preserve">Figure </w:t>
      </w:r>
      <w:r w:rsidR="00E832A2">
        <w:rPr>
          <w:noProof/>
        </w:rPr>
        <w:t>7</w:t>
      </w:r>
      <w:r w:rsidR="00E832A2">
        <w:fldChar w:fldCharType="end"/>
      </w:r>
      <w:r w:rsidR="00E832A2">
        <w:t xml:space="preserve"> </w:t>
      </w:r>
      <w:r>
        <w:t>shows a flowchart that summarizes these steps.</w:t>
      </w:r>
    </w:p>
    <w:p w14:paraId="33515508" w14:textId="196C37EF" w:rsidR="00DD23E4" w:rsidRDefault="003E2F0A" w:rsidP="006129C2">
      <w:pPr>
        <w:pStyle w:val="rptmainbodyfiguretitle1"/>
      </w:pPr>
      <w:bookmarkStart w:id="927" w:name="_Ref86064673"/>
      <w:bookmarkStart w:id="928" w:name="_Toc86727536"/>
      <w:r>
        <w:t xml:space="preserve">Figure </w:t>
      </w:r>
      <w:r>
        <w:fldChar w:fldCharType="begin"/>
      </w:r>
      <w:r>
        <w:instrText>SEQ Figure \* ARABIC</w:instrText>
      </w:r>
      <w:r>
        <w:fldChar w:fldCharType="separate"/>
      </w:r>
      <w:r w:rsidR="00401666">
        <w:rPr>
          <w:noProof/>
        </w:rPr>
        <w:t>7</w:t>
      </w:r>
      <w:r>
        <w:fldChar w:fldCharType="end"/>
      </w:r>
      <w:bookmarkEnd w:id="927"/>
      <w:r w:rsidR="00994D3F">
        <w:t xml:space="preserve">: </w:t>
      </w:r>
      <w:r w:rsidR="00994D3F" w:rsidRPr="00994D3F">
        <w:t>Summary of Modeling Steps</w:t>
      </w:r>
      <w:bookmarkEnd w:id="928"/>
    </w:p>
    <w:p w14:paraId="5E661D5C" w14:textId="7171A2BC" w:rsidR="006B4866" w:rsidRDefault="00BE7151" w:rsidP="006129C2">
      <w:pPr>
        <w:pStyle w:val="rptmainbodyfigure"/>
      </w:pPr>
      <w:r w:rsidRPr="00BE7151">
        <w:drawing>
          <wp:inline distT="0" distB="0" distL="0" distR="0" wp14:anchorId="796AC752" wp14:editId="60D3FFDB">
            <wp:extent cx="5943600" cy="3684760"/>
            <wp:effectExtent l="0" t="0" r="0" b="0"/>
            <wp:docPr id="469" name="Picture 46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rotWithShape="1">
                    <a:blip r:embed="rId35" cstate="print">
                      <a:extLst>
                        <a:ext uri="{28A0092B-C50C-407E-A947-70E740481C1C}">
                          <a14:useLocalDpi xmlns:a14="http://schemas.microsoft.com/office/drawing/2010/main" val="0"/>
                        </a:ext>
                      </a:extLst>
                    </a:blip>
                    <a:srcRect b="14965"/>
                    <a:stretch/>
                  </pic:blipFill>
                  <pic:spPr bwMode="auto">
                    <a:xfrm>
                      <a:off x="0" y="0"/>
                      <a:ext cx="5943600" cy="3684760"/>
                    </a:xfrm>
                    <a:prstGeom prst="rect">
                      <a:avLst/>
                    </a:prstGeom>
                    <a:noFill/>
                    <a:ln>
                      <a:noFill/>
                    </a:ln>
                    <a:extLst>
                      <a:ext uri="{53640926-AAD7-44D8-BBD7-CCE9431645EC}">
                        <a14:shadowObscured xmlns:a14="http://schemas.microsoft.com/office/drawing/2010/main"/>
                      </a:ext>
                    </a:extLst>
                  </pic:spPr>
                </pic:pic>
              </a:graphicData>
            </a:graphic>
          </wp:inline>
        </w:drawing>
      </w:r>
    </w:p>
    <w:p w14:paraId="097EE755" w14:textId="2A01D7A8" w:rsidR="00F009C2" w:rsidRDefault="007C4CA6" w:rsidP="009B2B54">
      <w:pPr>
        <w:pStyle w:val="rptmainbodyheading4"/>
        <w:rPr>
          <w:lang w:eastAsia="zh-CN"/>
        </w:rPr>
      </w:pPr>
      <w:r>
        <w:rPr>
          <w:lang w:eastAsia="zh-CN"/>
        </w:rPr>
        <w:t xml:space="preserve">1. </w:t>
      </w:r>
      <w:r w:rsidR="00F4024E">
        <w:rPr>
          <w:lang w:eastAsia="zh-CN"/>
        </w:rPr>
        <w:t xml:space="preserve">Develop Monte Carlo </w:t>
      </w:r>
      <w:r w:rsidR="00C41364">
        <w:rPr>
          <w:lang w:eastAsia="zh-CN"/>
        </w:rPr>
        <w:t>Realizations of the System</w:t>
      </w:r>
      <w:r w:rsidR="008013C2">
        <w:rPr>
          <w:lang w:eastAsia="zh-CN"/>
        </w:rPr>
        <w:t xml:space="preserve"> in the MOPR Case</w:t>
      </w:r>
    </w:p>
    <w:p w14:paraId="391FA8A1" w14:textId="03E3D284" w:rsidR="00BF6CCB" w:rsidRDefault="004E1048" w:rsidP="00302119">
      <w:pPr>
        <w:pStyle w:val="rptmainbodytext"/>
        <w:rPr>
          <w:lang w:eastAsia="zh-CN"/>
        </w:rPr>
      </w:pPr>
      <w:r w:rsidRPr="00554ABB">
        <w:rPr>
          <w:lang w:eastAsia="zh-CN"/>
        </w:rPr>
        <w:t>We</w:t>
      </w:r>
      <w:r w:rsidR="00CB48EA" w:rsidRPr="00554ABB">
        <w:rPr>
          <w:lang w:eastAsia="zh-CN"/>
        </w:rPr>
        <w:t xml:space="preserve"> </w:t>
      </w:r>
      <w:r w:rsidR="002F6BD9">
        <w:rPr>
          <w:lang w:eastAsia="zh-CN"/>
        </w:rPr>
        <w:t>use</w:t>
      </w:r>
      <w:r w:rsidR="00CB48EA" w:rsidRPr="00554ABB">
        <w:rPr>
          <w:lang w:eastAsia="zh-CN"/>
        </w:rPr>
        <w:t xml:space="preserve"> </w:t>
      </w:r>
      <w:r w:rsidR="006A2221" w:rsidRPr="00554ABB">
        <w:rPr>
          <w:lang w:eastAsia="zh-CN"/>
        </w:rPr>
        <w:t xml:space="preserve">Monte Carlo simulation </w:t>
      </w:r>
      <w:r w:rsidR="002F6BD9">
        <w:rPr>
          <w:lang w:eastAsia="zh-CN"/>
        </w:rPr>
        <w:t>techniques</w:t>
      </w:r>
      <w:r w:rsidR="00C96972">
        <w:rPr>
          <w:lang w:eastAsia="zh-CN"/>
        </w:rPr>
        <w:t xml:space="preserve"> to</w:t>
      </w:r>
      <w:r w:rsidR="002F6BD9">
        <w:rPr>
          <w:lang w:eastAsia="zh-CN"/>
        </w:rPr>
        <w:t xml:space="preserve"> </w:t>
      </w:r>
      <w:r w:rsidR="00A65574">
        <w:rPr>
          <w:lang w:eastAsia="zh-CN"/>
        </w:rPr>
        <w:t>generate</w:t>
      </w:r>
      <w:r w:rsidR="00CB48EA" w:rsidRPr="00554ABB">
        <w:rPr>
          <w:lang w:eastAsia="zh-CN"/>
        </w:rPr>
        <w:t xml:space="preserve"> a </w:t>
      </w:r>
      <w:r w:rsidR="00D90DB6">
        <w:rPr>
          <w:lang w:eastAsia="zh-CN"/>
        </w:rPr>
        <w:t xml:space="preserve">probability </w:t>
      </w:r>
      <w:r w:rsidR="00CB48EA" w:rsidRPr="00554ABB">
        <w:rPr>
          <w:lang w:eastAsia="zh-CN"/>
        </w:rPr>
        <w:t>distribution of the</w:t>
      </w:r>
      <w:r w:rsidR="006A2221" w:rsidRPr="00554ABB">
        <w:rPr>
          <w:lang w:eastAsia="zh-CN"/>
        </w:rPr>
        <w:t xml:space="preserve"> </w:t>
      </w:r>
      <w:r w:rsidR="0043041C" w:rsidRPr="00554ABB">
        <w:rPr>
          <w:lang w:eastAsia="zh-CN"/>
        </w:rPr>
        <w:t>revenues to the reference unit</w:t>
      </w:r>
      <w:r w:rsidR="00A42931">
        <w:rPr>
          <w:lang w:eastAsia="zh-CN"/>
        </w:rPr>
        <w:t xml:space="preserve"> and derive the relevant risk metrics </w:t>
      </w:r>
      <w:r w:rsidR="00C759E7">
        <w:rPr>
          <w:lang w:eastAsia="zh-CN"/>
        </w:rPr>
        <w:t>in the MOPR case</w:t>
      </w:r>
      <w:r w:rsidR="0043041C" w:rsidRPr="00554ABB">
        <w:rPr>
          <w:lang w:eastAsia="zh-CN"/>
        </w:rPr>
        <w:t>.</w:t>
      </w:r>
      <w:r w:rsidR="00E832EB">
        <w:rPr>
          <w:lang w:eastAsia="zh-CN"/>
        </w:rPr>
        <w:t xml:space="preserve">  </w:t>
      </w:r>
      <w:r w:rsidR="004304B8">
        <w:rPr>
          <w:lang w:eastAsia="zh-CN"/>
        </w:rPr>
        <w:t>W</w:t>
      </w:r>
      <w:r w:rsidR="004B03D0" w:rsidRPr="00554ABB">
        <w:rPr>
          <w:lang w:eastAsia="zh-CN"/>
        </w:rPr>
        <w:t xml:space="preserve">e develop 2000 realizations of </w:t>
      </w:r>
      <w:r w:rsidR="004D389B" w:rsidRPr="00554ABB">
        <w:rPr>
          <w:lang w:eastAsia="zh-CN"/>
        </w:rPr>
        <w:t xml:space="preserve">supply and demand curves and </w:t>
      </w:r>
      <w:r w:rsidR="00CF1BE7" w:rsidRPr="00554ABB">
        <w:rPr>
          <w:lang w:eastAsia="zh-CN"/>
        </w:rPr>
        <w:t xml:space="preserve">estimate the </w:t>
      </w:r>
      <w:r w:rsidR="009F74EF" w:rsidRPr="00554ABB">
        <w:rPr>
          <w:lang w:eastAsia="zh-CN"/>
        </w:rPr>
        <w:t>revenues to the reference unit (</w:t>
      </w:r>
      <w:r w:rsidR="00AF6892" w:rsidRPr="00554ABB">
        <w:rPr>
          <w:lang w:eastAsia="zh-CN"/>
        </w:rPr>
        <w:t xml:space="preserve">capacity, PFP and energy and ancillary services </w:t>
      </w:r>
      <w:r w:rsidR="009F74EF" w:rsidRPr="00554ABB">
        <w:rPr>
          <w:lang w:eastAsia="zh-CN"/>
        </w:rPr>
        <w:t xml:space="preserve">revenues) </w:t>
      </w:r>
      <w:r w:rsidR="004B5906" w:rsidRPr="00554ABB">
        <w:rPr>
          <w:lang w:eastAsia="zh-CN"/>
        </w:rPr>
        <w:t>in each realization</w:t>
      </w:r>
      <w:r w:rsidR="00AF6892" w:rsidRPr="00554ABB">
        <w:rPr>
          <w:lang w:eastAsia="zh-CN"/>
        </w:rPr>
        <w:t>.</w:t>
      </w:r>
      <w:r w:rsidR="00882A62">
        <w:rPr>
          <w:rStyle w:val="FootnoteReference"/>
          <w:lang w:eastAsia="zh-CN"/>
        </w:rPr>
        <w:footnoteReference w:id="15"/>
      </w:r>
      <w:r w:rsidR="004304B8" w:rsidRPr="004304B8">
        <w:rPr>
          <w:lang w:eastAsia="zh-CN"/>
        </w:rPr>
        <w:t xml:space="preserve"> </w:t>
      </w:r>
      <w:r w:rsidR="004F5BD7">
        <w:rPr>
          <w:lang w:eastAsia="zh-CN"/>
        </w:rPr>
        <w:t xml:space="preserve"> </w:t>
      </w:r>
      <w:r w:rsidR="004304B8">
        <w:rPr>
          <w:lang w:eastAsia="zh-CN"/>
        </w:rPr>
        <w:t>In each realization, we assume</w:t>
      </w:r>
      <w:r w:rsidR="004304B8" w:rsidRPr="00554ABB">
        <w:rPr>
          <w:lang w:eastAsia="zh-CN"/>
        </w:rPr>
        <w:t xml:space="preserve"> that the </w:t>
      </w:r>
      <w:r w:rsidR="004304B8" w:rsidRPr="003A02CA">
        <w:rPr>
          <w:lang w:eastAsia="zh-CN"/>
        </w:rPr>
        <w:t>sponsored policy resources are subject to an Offer Floor Price</w:t>
      </w:r>
      <w:r w:rsidR="004304B8">
        <w:rPr>
          <w:lang w:eastAsia="zh-CN"/>
        </w:rPr>
        <w:t xml:space="preserve"> that is based on the resource’s Net CONE.</w:t>
      </w:r>
    </w:p>
    <w:p w14:paraId="5D8DF5C2" w14:textId="0E94FB70" w:rsidR="00C41364" w:rsidRDefault="00FB1BC8" w:rsidP="00302119">
      <w:pPr>
        <w:pStyle w:val="rptmainbodytext"/>
        <w:rPr>
          <w:lang w:eastAsia="zh-CN"/>
        </w:rPr>
      </w:pPr>
      <w:r w:rsidRPr="0037311F">
        <w:rPr>
          <w:lang w:eastAsia="zh-CN"/>
        </w:rPr>
        <w:t xml:space="preserve">The sources of uncertainty </w:t>
      </w:r>
      <w:r w:rsidR="00EF6768" w:rsidRPr="0037311F">
        <w:rPr>
          <w:lang w:eastAsia="zh-CN"/>
        </w:rPr>
        <w:t>in our model in</w:t>
      </w:r>
      <w:r w:rsidR="00225A3C" w:rsidRPr="0037311F">
        <w:rPr>
          <w:lang w:eastAsia="zh-CN"/>
        </w:rPr>
        <w:t>c</w:t>
      </w:r>
      <w:r w:rsidR="00EF6768" w:rsidRPr="0037311F">
        <w:rPr>
          <w:lang w:eastAsia="zh-CN"/>
        </w:rPr>
        <w:t>lude uncertainty in the following variables:</w:t>
      </w:r>
      <w:r w:rsidR="00BF6CCB" w:rsidRPr="0037311F">
        <w:rPr>
          <w:rStyle w:val="FootnoteReference"/>
          <w:lang w:eastAsia="zh-CN"/>
        </w:rPr>
        <w:footnoteReference w:id="16"/>
      </w:r>
    </w:p>
    <w:p w14:paraId="0AE22356" w14:textId="68E29D1F" w:rsidR="005D1A04" w:rsidRDefault="005D1A04" w:rsidP="005D1A04">
      <w:pPr>
        <w:pStyle w:val="rptmainbodybullets1"/>
      </w:pPr>
      <w:r>
        <w:t>Peak load forecast</w:t>
      </w:r>
    </w:p>
    <w:p w14:paraId="59E05740" w14:textId="560FBCF6" w:rsidR="005D1A04" w:rsidRDefault="0032626D" w:rsidP="005D1A04">
      <w:pPr>
        <w:pStyle w:val="rptmainbodybullets1"/>
      </w:pPr>
      <w:r>
        <w:lastRenderedPageBreak/>
        <w:t xml:space="preserve">Quantities </w:t>
      </w:r>
      <w:r w:rsidR="005D1A04">
        <w:t xml:space="preserve">of </w:t>
      </w:r>
      <w:r>
        <w:t xml:space="preserve">sponsored policy resources (offshore </w:t>
      </w:r>
      <w:r w:rsidR="005D1A04">
        <w:t>wind</w:t>
      </w:r>
      <w:r w:rsidR="002B15B0">
        <w:t>, energy storage</w:t>
      </w:r>
      <w:r w:rsidR="00B9320A">
        <w:t>,</w:t>
      </w:r>
      <w:r w:rsidR="002B15B0">
        <w:t xml:space="preserve"> and solar resources</w:t>
      </w:r>
      <w:r>
        <w:t>)</w:t>
      </w:r>
    </w:p>
    <w:p w14:paraId="0E801A1B" w14:textId="1C4A5074" w:rsidR="005D1A04" w:rsidRDefault="002B15B0" w:rsidP="005D1A04">
      <w:pPr>
        <w:pStyle w:val="rptmainbodybullets1"/>
      </w:pPr>
      <w:r>
        <w:t>C</w:t>
      </w:r>
      <w:r w:rsidR="00867E45">
        <w:t xml:space="preserve">ost of energy storage </w:t>
      </w:r>
      <w:r>
        <w:t>resources</w:t>
      </w:r>
    </w:p>
    <w:p w14:paraId="637627D7" w14:textId="69FD2025" w:rsidR="005D1A04" w:rsidRDefault="005D1A04" w:rsidP="005D1A04">
      <w:pPr>
        <w:pStyle w:val="rptmainbodybullets1"/>
      </w:pPr>
      <w:r>
        <w:t xml:space="preserve">Existence of the NECEC line </w:t>
      </w:r>
    </w:p>
    <w:p w14:paraId="1BD305F8" w14:textId="031EFD83" w:rsidR="005D1A04" w:rsidRDefault="0032626D">
      <w:pPr>
        <w:pStyle w:val="rptmainbodybullets1"/>
      </w:pPr>
      <w:r>
        <w:t>Capacity import offers from NYISO</w:t>
      </w:r>
      <w:r w:rsidR="005D1A04">
        <w:t xml:space="preserve"> </w:t>
      </w:r>
    </w:p>
    <w:p w14:paraId="0998C07B" w14:textId="5C21E5F9" w:rsidR="005D1A04" w:rsidRDefault="005D1A04" w:rsidP="005D1A04">
      <w:pPr>
        <w:pStyle w:val="rptmainbodybullets1"/>
      </w:pPr>
      <w:r>
        <w:t xml:space="preserve">Quantity of feasible new </w:t>
      </w:r>
      <w:r w:rsidR="003D4D65">
        <w:t xml:space="preserve">fossil fuel-fired </w:t>
      </w:r>
      <w:r>
        <w:t>CT</w:t>
      </w:r>
      <w:r w:rsidR="003D4D65">
        <w:t>s</w:t>
      </w:r>
    </w:p>
    <w:p w14:paraId="1C54200C" w14:textId="342B6D45" w:rsidR="00CB7F83" w:rsidRDefault="008C7A3E" w:rsidP="005D1A04">
      <w:pPr>
        <w:pStyle w:val="rptmainbodybullets1"/>
      </w:pPr>
      <w:r>
        <w:t>Number of shortage hours</w:t>
      </w:r>
      <w:r w:rsidR="00450E56">
        <w:t xml:space="preserve"> given a surplus capacity level</w:t>
      </w:r>
      <w:r w:rsidR="00CB7F83">
        <w:t>,</w:t>
      </w:r>
      <w:r>
        <w:t xml:space="preserve"> and </w:t>
      </w:r>
    </w:p>
    <w:p w14:paraId="7D11900A" w14:textId="7B1B7BEA" w:rsidR="00D373E8" w:rsidRDefault="00CB7F83" w:rsidP="006129C2">
      <w:pPr>
        <w:pStyle w:val="rptmainbodybullets1"/>
        <w:rPr>
          <w:lang w:eastAsia="zh-CN"/>
        </w:rPr>
      </w:pPr>
      <w:r>
        <w:t>E</w:t>
      </w:r>
      <w:r w:rsidR="008C7A3E">
        <w:t xml:space="preserve">nergy </w:t>
      </w:r>
      <w:r>
        <w:t xml:space="preserve">and ancillary services revenues </w:t>
      </w:r>
      <w:r w:rsidR="008C7A3E">
        <w:t>given a surplus capacity level</w:t>
      </w:r>
    </w:p>
    <w:p w14:paraId="5BD7974E" w14:textId="55DE0481" w:rsidR="000F7570" w:rsidRDefault="007C4CA6" w:rsidP="000318AA">
      <w:pPr>
        <w:pStyle w:val="rptmainbodyheading4"/>
        <w:rPr>
          <w:lang w:eastAsia="zh-CN"/>
        </w:rPr>
      </w:pPr>
      <w:r>
        <w:rPr>
          <w:lang w:eastAsia="zh-CN"/>
        </w:rPr>
        <w:t xml:space="preserve">2. </w:t>
      </w:r>
      <w:r w:rsidR="00C41364">
        <w:rPr>
          <w:lang w:eastAsia="zh-CN"/>
        </w:rPr>
        <w:t xml:space="preserve">Adjust </w:t>
      </w:r>
      <w:r w:rsidR="00C127D3">
        <w:rPr>
          <w:lang w:eastAsia="zh-CN"/>
        </w:rPr>
        <w:t xml:space="preserve">Supply </w:t>
      </w:r>
      <w:r w:rsidR="00380A98">
        <w:rPr>
          <w:lang w:eastAsia="zh-CN"/>
        </w:rPr>
        <w:t xml:space="preserve">to </w:t>
      </w:r>
      <w:r w:rsidR="00E601BB">
        <w:rPr>
          <w:lang w:eastAsia="zh-CN"/>
        </w:rPr>
        <w:t>Move System to Long-term Equilibrium</w:t>
      </w:r>
      <w:r w:rsidR="008013C2">
        <w:rPr>
          <w:lang w:eastAsia="zh-CN"/>
        </w:rPr>
        <w:t xml:space="preserve"> in the MOPR Case</w:t>
      </w:r>
    </w:p>
    <w:p w14:paraId="354C1526" w14:textId="34D10D3F" w:rsidR="00380A98" w:rsidRDefault="00FC7AD2" w:rsidP="00302119">
      <w:pPr>
        <w:pStyle w:val="rptmainbodytext"/>
        <w:rPr>
          <w:lang w:eastAsia="zh-CN"/>
        </w:rPr>
      </w:pPr>
      <w:r>
        <w:rPr>
          <w:lang w:eastAsia="zh-CN"/>
        </w:rPr>
        <w:t>T</w:t>
      </w:r>
      <w:r w:rsidR="005D79F5">
        <w:rPr>
          <w:lang w:eastAsia="zh-CN"/>
        </w:rPr>
        <w:t xml:space="preserve">he </w:t>
      </w:r>
      <w:r w:rsidR="00E97BBB">
        <w:rPr>
          <w:lang w:eastAsia="zh-CN"/>
        </w:rPr>
        <w:t xml:space="preserve">Net CONE </w:t>
      </w:r>
      <w:r>
        <w:rPr>
          <w:lang w:eastAsia="zh-CN"/>
        </w:rPr>
        <w:t xml:space="preserve">used to </w:t>
      </w:r>
      <w:r w:rsidR="00191505">
        <w:rPr>
          <w:lang w:eastAsia="zh-CN"/>
        </w:rPr>
        <w:t>set the capacity demand curves</w:t>
      </w:r>
      <w:r w:rsidR="00B54198">
        <w:rPr>
          <w:lang w:eastAsia="zh-CN"/>
        </w:rPr>
        <w:t xml:space="preserve"> (</w:t>
      </w:r>
      <w:r w:rsidR="0040675B">
        <w:rPr>
          <w:lang w:eastAsia="zh-CN"/>
        </w:rPr>
        <w:t xml:space="preserve">and </w:t>
      </w:r>
      <w:r w:rsidR="00D9102E">
        <w:rPr>
          <w:lang w:eastAsia="zh-CN"/>
        </w:rPr>
        <w:t xml:space="preserve">several of its input parameters </w:t>
      </w:r>
      <w:r w:rsidR="00B54198">
        <w:rPr>
          <w:lang w:eastAsia="zh-CN"/>
        </w:rPr>
        <w:t xml:space="preserve">such as </w:t>
      </w:r>
      <w:r w:rsidR="00D9102E">
        <w:rPr>
          <w:lang w:eastAsia="zh-CN"/>
        </w:rPr>
        <w:t>energy and ancillary services revenue offset</w:t>
      </w:r>
      <w:r w:rsidR="00B54198">
        <w:rPr>
          <w:lang w:eastAsia="zh-CN"/>
        </w:rPr>
        <w:t xml:space="preserve"> and</w:t>
      </w:r>
      <w:r w:rsidR="00D9102E">
        <w:rPr>
          <w:lang w:eastAsia="zh-CN"/>
        </w:rPr>
        <w:t xml:space="preserve"> </w:t>
      </w:r>
      <w:r w:rsidR="00DA759F">
        <w:rPr>
          <w:lang w:eastAsia="zh-CN"/>
        </w:rPr>
        <w:t>number of shortage hours</w:t>
      </w:r>
      <w:r w:rsidR="00D9102E">
        <w:rPr>
          <w:lang w:eastAsia="zh-CN"/>
        </w:rPr>
        <w:t xml:space="preserve">), </w:t>
      </w:r>
      <w:r w:rsidR="00575FEA">
        <w:rPr>
          <w:lang w:eastAsia="zh-CN"/>
        </w:rPr>
        <w:t>is</w:t>
      </w:r>
      <w:r w:rsidR="00191505">
        <w:rPr>
          <w:lang w:eastAsia="zh-CN"/>
        </w:rPr>
        <w:t xml:space="preserve"> determined </w:t>
      </w:r>
      <w:r w:rsidR="000644F4">
        <w:rPr>
          <w:lang w:eastAsia="zh-CN"/>
        </w:rPr>
        <w:t>as</w:t>
      </w:r>
      <w:r w:rsidR="00E97BBB">
        <w:rPr>
          <w:lang w:eastAsia="zh-CN"/>
        </w:rPr>
        <w:t xml:space="preserve"> the “missing money” </w:t>
      </w:r>
      <w:r w:rsidR="00E360E3">
        <w:rPr>
          <w:lang w:eastAsia="zh-CN"/>
        </w:rPr>
        <w:t xml:space="preserve">of the reference unit </w:t>
      </w:r>
      <w:r w:rsidR="000A69E9">
        <w:rPr>
          <w:lang w:eastAsia="zh-CN"/>
        </w:rPr>
        <w:t>under long-term equilibrium conditions</w:t>
      </w:r>
      <w:r w:rsidR="00E360E3">
        <w:rPr>
          <w:lang w:eastAsia="zh-CN"/>
        </w:rPr>
        <w:t xml:space="preserve">.  </w:t>
      </w:r>
      <w:r w:rsidR="00BC4AC1">
        <w:rPr>
          <w:lang w:eastAsia="zh-CN"/>
        </w:rPr>
        <w:t>Accordingly</w:t>
      </w:r>
      <w:r w:rsidR="00E360E3">
        <w:rPr>
          <w:lang w:eastAsia="zh-CN"/>
        </w:rPr>
        <w:t xml:space="preserve">, </w:t>
      </w:r>
      <w:r w:rsidR="00BC4AC1">
        <w:rPr>
          <w:lang w:eastAsia="zh-CN"/>
        </w:rPr>
        <w:t xml:space="preserve">for the purpose of our analysis, </w:t>
      </w:r>
      <w:r w:rsidR="00E360E3">
        <w:rPr>
          <w:lang w:eastAsia="zh-CN"/>
        </w:rPr>
        <w:t xml:space="preserve">we </w:t>
      </w:r>
      <w:r w:rsidR="00BC4AC1">
        <w:rPr>
          <w:lang w:eastAsia="zh-CN"/>
        </w:rPr>
        <w:t xml:space="preserve">consider </w:t>
      </w:r>
      <w:r w:rsidR="00C63B7A">
        <w:rPr>
          <w:lang w:eastAsia="zh-CN"/>
        </w:rPr>
        <w:t xml:space="preserve">a wholesale market </w:t>
      </w:r>
      <w:r w:rsidR="00F70329">
        <w:rPr>
          <w:lang w:eastAsia="zh-CN"/>
        </w:rPr>
        <w:t>under</w:t>
      </w:r>
      <w:r w:rsidR="00E360E3">
        <w:rPr>
          <w:lang w:eastAsia="zh-CN"/>
        </w:rPr>
        <w:t xml:space="preserve"> long-term equilibrium</w:t>
      </w:r>
      <w:r w:rsidR="00E62FCD">
        <w:rPr>
          <w:lang w:eastAsia="zh-CN"/>
        </w:rPr>
        <w:t xml:space="preserve"> conditions</w:t>
      </w:r>
      <w:r w:rsidR="00A1547D">
        <w:rPr>
          <w:lang w:eastAsia="zh-CN"/>
        </w:rPr>
        <w:t xml:space="preserve">, </w:t>
      </w:r>
      <w:r w:rsidR="009D4A07">
        <w:rPr>
          <w:lang w:eastAsia="zh-CN"/>
        </w:rPr>
        <w:t>where</w:t>
      </w:r>
      <w:r w:rsidR="00A1547D">
        <w:rPr>
          <w:lang w:eastAsia="zh-CN"/>
        </w:rPr>
        <w:t>:</w:t>
      </w:r>
    </w:p>
    <w:p w14:paraId="09C2FA8E" w14:textId="4CF0A153" w:rsidR="00B23C78" w:rsidRPr="00B23C78" w:rsidRDefault="007B5DC0" w:rsidP="00B23C78">
      <w:pPr>
        <w:pStyle w:val="rptmainbodytext"/>
        <w:jc w:val="center"/>
        <w:rPr>
          <w:i/>
          <w:iCs/>
          <w:lang w:eastAsia="zh-CN"/>
        </w:rPr>
      </w:pPr>
      <w:r>
        <w:rPr>
          <w:i/>
          <w:iCs/>
          <w:lang w:eastAsia="zh-CN"/>
        </w:rPr>
        <w:t xml:space="preserve">Annualized </w:t>
      </w:r>
      <w:r w:rsidR="00B23C78" w:rsidRPr="00B23C78">
        <w:rPr>
          <w:i/>
          <w:iCs/>
          <w:lang w:eastAsia="zh-CN"/>
        </w:rPr>
        <w:t>Gross CONE of Reference Unit = Total Revenues of the Reference Unit</w:t>
      </w:r>
    </w:p>
    <w:p w14:paraId="223548CD" w14:textId="4BDD9DE4" w:rsidR="00B23C78" w:rsidRDefault="008D476B" w:rsidP="00302119">
      <w:pPr>
        <w:pStyle w:val="rptmainbodytext"/>
        <w:rPr>
          <w:lang w:eastAsia="zh-CN"/>
        </w:rPr>
      </w:pPr>
      <w:r>
        <w:rPr>
          <w:lang w:eastAsia="zh-CN"/>
        </w:rPr>
        <w:t xml:space="preserve">However, </w:t>
      </w:r>
      <w:r w:rsidR="00530DFA">
        <w:rPr>
          <w:lang w:eastAsia="zh-CN"/>
        </w:rPr>
        <w:t>the</w:t>
      </w:r>
      <w:r w:rsidR="00530DFA" w:rsidRPr="00530DFA">
        <w:rPr>
          <w:lang w:eastAsia="zh-CN"/>
        </w:rPr>
        <w:t xml:space="preserve"> assumed characteristics of supply and demand may not result in adequate revenue to the reference unit on an expected basis</w:t>
      </w:r>
      <w:r w:rsidR="008940A6">
        <w:rPr>
          <w:lang w:eastAsia="zh-CN"/>
        </w:rPr>
        <w:t xml:space="preserve">.  </w:t>
      </w:r>
      <w:r>
        <w:rPr>
          <w:lang w:eastAsia="zh-CN"/>
        </w:rPr>
        <w:t xml:space="preserve">Hence, to </w:t>
      </w:r>
      <w:r w:rsidR="00DC3AA4">
        <w:rPr>
          <w:lang w:eastAsia="zh-CN"/>
        </w:rPr>
        <w:t>model a system at long-term equilibrium</w:t>
      </w:r>
      <w:r w:rsidR="000B1FA8">
        <w:rPr>
          <w:lang w:eastAsia="zh-CN"/>
        </w:rPr>
        <w:t xml:space="preserve">, we </w:t>
      </w:r>
      <w:r w:rsidR="00975362">
        <w:rPr>
          <w:lang w:eastAsia="zh-CN"/>
        </w:rPr>
        <w:t xml:space="preserve">solve for an </w:t>
      </w:r>
      <w:r w:rsidR="000B1FA8">
        <w:rPr>
          <w:lang w:eastAsia="zh-CN"/>
        </w:rPr>
        <w:t>adjust</w:t>
      </w:r>
      <w:r w:rsidR="00975362">
        <w:rPr>
          <w:lang w:eastAsia="zh-CN"/>
        </w:rPr>
        <w:t>ment to</w:t>
      </w:r>
      <w:r w:rsidR="000B1FA8">
        <w:rPr>
          <w:lang w:eastAsia="zh-CN"/>
        </w:rPr>
        <w:t xml:space="preserve"> the supply stack </w:t>
      </w:r>
      <w:r w:rsidR="005436EA">
        <w:rPr>
          <w:lang w:eastAsia="zh-CN"/>
        </w:rPr>
        <w:t>that</w:t>
      </w:r>
      <w:r w:rsidR="00634270">
        <w:rPr>
          <w:lang w:eastAsia="zh-CN"/>
        </w:rPr>
        <w:t xml:space="preserve"> remov</w:t>
      </w:r>
      <w:r w:rsidR="00143047">
        <w:rPr>
          <w:lang w:eastAsia="zh-CN"/>
        </w:rPr>
        <w:t>es</w:t>
      </w:r>
      <w:r w:rsidR="00634270">
        <w:rPr>
          <w:lang w:eastAsia="zh-CN"/>
        </w:rPr>
        <w:t xml:space="preserve"> capacity </w:t>
      </w:r>
      <w:r w:rsidR="00FD0375">
        <w:rPr>
          <w:lang w:eastAsia="zh-CN"/>
        </w:rPr>
        <w:t>from</w:t>
      </w:r>
      <w:r w:rsidR="00450A76">
        <w:rPr>
          <w:lang w:eastAsia="zh-CN"/>
        </w:rPr>
        <w:t xml:space="preserve"> </w:t>
      </w:r>
      <w:r w:rsidR="00FD0375">
        <w:rPr>
          <w:lang w:eastAsia="zh-CN"/>
        </w:rPr>
        <w:t xml:space="preserve">high-cost </w:t>
      </w:r>
      <w:r w:rsidR="00DC04BD">
        <w:rPr>
          <w:lang w:eastAsia="zh-CN"/>
        </w:rPr>
        <w:t xml:space="preserve">existing </w:t>
      </w:r>
      <w:r w:rsidR="00FD0375">
        <w:rPr>
          <w:lang w:eastAsia="zh-CN"/>
        </w:rPr>
        <w:t xml:space="preserve">resources until the </w:t>
      </w:r>
      <w:r w:rsidR="00DC04BD">
        <w:rPr>
          <w:lang w:eastAsia="zh-CN"/>
        </w:rPr>
        <w:t xml:space="preserve">average revenue to the reference unit across the 2000 realizations equals </w:t>
      </w:r>
      <w:r w:rsidR="00A65763">
        <w:rPr>
          <w:lang w:eastAsia="zh-CN"/>
        </w:rPr>
        <w:t>its</w:t>
      </w:r>
      <w:r w:rsidR="00DC04BD">
        <w:rPr>
          <w:lang w:eastAsia="zh-CN"/>
        </w:rPr>
        <w:t xml:space="preserve"> </w:t>
      </w:r>
      <w:r w:rsidR="002D1BD4">
        <w:rPr>
          <w:lang w:eastAsia="zh-CN"/>
        </w:rPr>
        <w:t xml:space="preserve">annualized </w:t>
      </w:r>
      <w:r w:rsidR="00DC04BD">
        <w:rPr>
          <w:lang w:eastAsia="zh-CN"/>
        </w:rPr>
        <w:t>Gross CONE</w:t>
      </w:r>
      <w:r w:rsidR="00CD6EB6">
        <w:rPr>
          <w:lang w:eastAsia="zh-CN"/>
        </w:rPr>
        <w:t xml:space="preserve"> based on </w:t>
      </w:r>
      <w:r w:rsidR="00213775">
        <w:rPr>
          <w:lang w:eastAsia="zh-CN"/>
        </w:rPr>
        <w:t>its</w:t>
      </w:r>
      <w:r w:rsidR="00CD6EB6">
        <w:rPr>
          <w:lang w:eastAsia="zh-CN"/>
        </w:rPr>
        <w:t xml:space="preserve"> assumed COE and COD</w:t>
      </w:r>
      <w:r w:rsidR="00553E8D">
        <w:rPr>
          <w:lang w:eastAsia="zh-CN"/>
        </w:rPr>
        <w:t>.</w:t>
      </w:r>
    </w:p>
    <w:p w14:paraId="61068482" w14:textId="6E145A9D" w:rsidR="00380A98" w:rsidRDefault="006C12B2" w:rsidP="000318AA">
      <w:pPr>
        <w:pStyle w:val="rptmainbodyheading4"/>
        <w:rPr>
          <w:lang w:eastAsia="zh-CN"/>
        </w:rPr>
      </w:pPr>
      <w:r>
        <w:rPr>
          <w:lang w:eastAsia="zh-CN"/>
        </w:rPr>
        <w:t xml:space="preserve">3. </w:t>
      </w:r>
      <w:r w:rsidR="00E454AE">
        <w:rPr>
          <w:lang w:eastAsia="zh-CN"/>
        </w:rPr>
        <w:t xml:space="preserve">Derive </w:t>
      </w:r>
      <w:r w:rsidR="004B2547">
        <w:rPr>
          <w:lang w:eastAsia="zh-CN"/>
        </w:rPr>
        <w:t>R</w:t>
      </w:r>
      <w:r w:rsidR="00E454AE">
        <w:rPr>
          <w:lang w:eastAsia="zh-CN"/>
        </w:rPr>
        <w:t xml:space="preserve">isk </w:t>
      </w:r>
      <w:r w:rsidR="004B2547">
        <w:rPr>
          <w:lang w:eastAsia="zh-CN"/>
        </w:rPr>
        <w:t>M</w:t>
      </w:r>
      <w:r w:rsidR="00E454AE">
        <w:rPr>
          <w:lang w:eastAsia="zh-CN"/>
        </w:rPr>
        <w:t xml:space="preserve">etrics that </w:t>
      </w:r>
      <w:r w:rsidR="004B2547">
        <w:rPr>
          <w:lang w:eastAsia="zh-CN"/>
        </w:rPr>
        <w:t>C</w:t>
      </w:r>
      <w:r w:rsidR="00E454AE">
        <w:rPr>
          <w:lang w:eastAsia="zh-CN"/>
        </w:rPr>
        <w:t xml:space="preserve">orrespond to </w:t>
      </w:r>
      <w:r w:rsidR="00CE5E68">
        <w:rPr>
          <w:lang w:eastAsia="zh-CN"/>
        </w:rPr>
        <w:t>COE and COD</w:t>
      </w:r>
      <w:r w:rsidR="0019049B">
        <w:rPr>
          <w:lang w:eastAsia="zh-CN"/>
        </w:rPr>
        <w:t xml:space="preserve"> in the MOPR Case</w:t>
      </w:r>
    </w:p>
    <w:p w14:paraId="7D757CC3" w14:textId="6308500C" w:rsidR="008013C2" w:rsidRDefault="0004094D" w:rsidP="00302119">
      <w:pPr>
        <w:pStyle w:val="rptmainbodytext"/>
        <w:rPr>
          <w:lang w:eastAsia="zh-CN"/>
        </w:rPr>
      </w:pPr>
      <w:r>
        <w:rPr>
          <w:lang w:eastAsia="zh-CN"/>
        </w:rPr>
        <w:t>Based on</w:t>
      </w:r>
      <w:r w:rsidR="00AB40A9">
        <w:rPr>
          <w:lang w:eastAsia="zh-CN"/>
        </w:rPr>
        <w:t xml:space="preserve"> the distribution </w:t>
      </w:r>
      <w:r w:rsidR="00C568A2">
        <w:rPr>
          <w:lang w:eastAsia="zh-CN"/>
        </w:rPr>
        <w:t xml:space="preserve">of revenues across the 2000 </w:t>
      </w:r>
      <w:r w:rsidR="00E2024F">
        <w:rPr>
          <w:lang w:eastAsia="zh-CN"/>
        </w:rPr>
        <w:t xml:space="preserve">Monte Carlo </w:t>
      </w:r>
      <w:r w:rsidR="00C568A2">
        <w:rPr>
          <w:lang w:eastAsia="zh-CN"/>
        </w:rPr>
        <w:t>realizations in the MOPR case</w:t>
      </w:r>
      <w:r w:rsidR="00B7045B">
        <w:rPr>
          <w:lang w:eastAsia="zh-CN"/>
        </w:rPr>
        <w:t>,</w:t>
      </w:r>
      <w:r w:rsidR="008652CA">
        <w:rPr>
          <w:lang w:eastAsia="zh-CN"/>
        </w:rPr>
        <w:t xml:space="preserve"> </w:t>
      </w:r>
      <w:r>
        <w:rPr>
          <w:lang w:eastAsia="zh-CN"/>
        </w:rPr>
        <w:t xml:space="preserve">we </w:t>
      </w:r>
      <w:r w:rsidR="00044051">
        <w:rPr>
          <w:lang w:eastAsia="zh-CN"/>
        </w:rPr>
        <w:t xml:space="preserve">derive the </w:t>
      </w:r>
      <w:r w:rsidR="00714A09">
        <w:rPr>
          <w:lang w:eastAsia="zh-CN"/>
        </w:rPr>
        <w:t xml:space="preserve">financial </w:t>
      </w:r>
      <w:r w:rsidR="0011085D">
        <w:rPr>
          <w:lang w:eastAsia="zh-CN"/>
        </w:rPr>
        <w:t xml:space="preserve">risk </w:t>
      </w:r>
      <w:r w:rsidR="00044051">
        <w:rPr>
          <w:lang w:eastAsia="zh-CN"/>
        </w:rPr>
        <w:t xml:space="preserve">metrics that </w:t>
      </w:r>
      <w:r w:rsidR="005F1D1A">
        <w:rPr>
          <w:lang w:eastAsia="zh-CN"/>
        </w:rPr>
        <w:t xml:space="preserve">correspond to the </w:t>
      </w:r>
      <w:r w:rsidR="008C7D12">
        <w:rPr>
          <w:lang w:eastAsia="zh-CN"/>
        </w:rPr>
        <w:t xml:space="preserve">COE and COD </w:t>
      </w:r>
      <w:r w:rsidR="00B7045B">
        <w:rPr>
          <w:lang w:eastAsia="zh-CN"/>
        </w:rPr>
        <w:t xml:space="preserve">under </w:t>
      </w:r>
      <w:r w:rsidR="00E622A7">
        <w:rPr>
          <w:lang w:eastAsia="zh-CN"/>
        </w:rPr>
        <w:t xml:space="preserve">the </w:t>
      </w:r>
      <w:r w:rsidR="00B7045B">
        <w:rPr>
          <w:lang w:eastAsia="zh-CN"/>
        </w:rPr>
        <w:t>status quo</w:t>
      </w:r>
      <w:r w:rsidR="00E622A7">
        <w:rPr>
          <w:lang w:eastAsia="zh-CN"/>
        </w:rPr>
        <w:t xml:space="preserve"> rules</w:t>
      </w:r>
      <w:r w:rsidR="002B15B0">
        <w:rPr>
          <w:lang w:eastAsia="zh-CN"/>
        </w:rPr>
        <w:t>.</w:t>
      </w:r>
      <w:r w:rsidR="002B15B0">
        <w:rPr>
          <w:rStyle w:val="FootnoteReference"/>
          <w:lang w:eastAsia="zh-CN"/>
        </w:rPr>
        <w:footnoteReference w:id="17"/>
      </w:r>
      <w:r w:rsidR="008C7D12">
        <w:rPr>
          <w:lang w:eastAsia="zh-CN"/>
        </w:rPr>
        <w:t xml:space="preserve"> </w:t>
      </w:r>
      <w:r w:rsidR="002B15B0">
        <w:rPr>
          <w:lang w:eastAsia="zh-CN"/>
        </w:rPr>
        <w:t xml:space="preserve"> </w:t>
      </w:r>
      <w:r w:rsidR="009D2F3F">
        <w:rPr>
          <w:lang w:eastAsia="zh-CN"/>
        </w:rPr>
        <w:t>Specifically:</w:t>
      </w:r>
    </w:p>
    <w:p w14:paraId="48A26826" w14:textId="36B5D5CE" w:rsidR="00D12025" w:rsidRDefault="00557956" w:rsidP="00F440B3">
      <w:pPr>
        <w:pStyle w:val="rptmainbodybullets1"/>
        <w:rPr>
          <w:lang w:eastAsia="zh-CN"/>
        </w:rPr>
      </w:pPr>
      <w:r>
        <w:rPr>
          <w:lang w:eastAsia="zh-CN"/>
        </w:rPr>
        <w:t xml:space="preserve">We </w:t>
      </w:r>
      <w:r w:rsidR="00B829A2">
        <w:rPr>
          <w:lang w:eastAsia="zh-CN"/>
        </w:rPr>
        <w:t xml:space="preserve">determine </w:t>
      </w:r>
      <w:r>
        <w:rPr>
          <w:lang w:eastAsia="zh-CN"/>
        </w:rPr>
        <w:t xml:space="preserve">the standard deviation of the revenues </w:t>
      </w:r>
      <w:r w:rsidR="007D310A">
        <w:rPr>
          <w:lang w:eastAsia="zh-CN"/>
        </w:rPr>
        <w:t>of the reference unit</w:t>
      </w:r>
      <w:r w:rsidR="00B829A2">
        <w:rPr>
          <w:lang w:eastAsia="zh-CN"/>
        </w:rPr>
        <w:t>, which is assumed to</w:t>
      </w:r>
      <w:r w:rsidR="007D310A">
        <w:rPr>
          <w:lang w:eastAsia="zh-CN"/>
        </w:rPr>
        <w:t xml:space="preserve"> correspond to the power market risk component of the </w:t>
      </w:r>
      <w:r w:rsidR="00EA18B4">
        <w:rPr>
          <w:lang w:eastAsia="zh-CN"/>
        </w:rPr>
        <w:t>assumed</w:t>
      </w:r>
      <w:r w:rsidR="007D310A">
        <w:rPr>
          <w:lang w:eastAsia="zh-CN"/>
        </w:rPr>
        <w:t xml:space="preserve"> </w:t>
      </w:r>
      <w:r w:rsidR="00F440B3">
        <w:rPr>
          <w:lang w:eastAsia="zh-CN"/>
        </w:rPr>
        <w:t>COE</w:t>
      </w:r>
      <w:r w:rsidR="00102405">
        <w:rPr>
          <w:lang w:eastAsia="zh-CN"/>
        </w:rPr>
        <w:t xml:space="preserve"> </w:t>
      </w:r>
      <w:r w:rsidR="00266157">
        <w:rPr>
          <w:lang w:eastAsia="zh-CN"/>
        </w:rPr>
        <w:t>(</w:t>
      </w:r>
      <w:r w:rsidR="00266157" w:rsidRPr="001A78FA">
        <w:t>COE</w:t>
      </w:r>
      <w:r w:rsidR="00266157" w:rsidRPr="00ED0023">
        <w:rPr>
          <w:vertAlign w:val="subscript"/>
        </w:rPr>
        <w:t>MOPR</w:t>
      </w:r>
      <w:r w:rsidR="00266157">
        <w:rPr>
          <w:vertAlign w:val="subscript"/>
        </w:rPr>
        <w:t>-P</w:t>
      </w:r>
      <w:r w:rsidR="00266157">
        <w:rPr>
          <w:lang w:eastAsia="zh-CN"/>
        </w:rPr>
        <w:t xml:space="preserve">) </w:t>
      </w:r>
      <w:r w:rsidR="00102405">
        <w:rPr>
          <w:lang w:eastAsia="zh-CN"/>
        </w:rPr>
        <w:t>in the MOPR case</w:t>
      </w:r>
      <w:r w:rsidR="00F440B3">
        <w:rPr>
          <w:lang w:eastAsia="zh-CN"/>
        </w:rPr>
        <w:t>.</w:t>
      </w:r>
      <w:r w:rsidR="004733DA">
        <w:rPr>
          <w:rStyle w:val="FootnoteReference"/>
          <w:lang w:eastAsia="zh-CN"/>
        </w:rPr>
        <w:footnoteReference w:id="18"/>
      </w:r>
      <w:r w:rsidR="0027642A">
        <w:rPr>
          <w:lang w:eastAsia="zh-CN"/>
        </w:rPr>
        <w:t xml:space="preserve"> </w:t>
      </w:r>
    </w:p>
    <w:p w14:paraId="4D08A8F7" w14:textId="64BCEED1" w:rsidR="00F440B3" w:rsidRPr="00C0261B" w:rsidRDefault="00F440B3" w:rsidP="00F440B3">
      <w:pPr>
        <w:pStyle w:val="rptmainbodybullets1"/>
        <w:rPr>
          <w:lang w:eastAsia="zh-CN"/>
        </w:rPr>
      </w:pPr>
      <w:r w:rsidRPr="00C0261B">
        <w:rPr>
          <w:lang w:eastAsia="zh-CN"/>
        </w:rPr>
        <w:t xml:space="preserve">We determine the </w:t>
      </w:r>
      <w:r w:rsidR="00A36B22">
        <w:rPr>
          <w:lang w:eastAsia="zh-CN"/>
        </w:rPr>
        <w:t>Rating Case range</w:t>
      </w:r>
      <w:r w:rsidR="00A36B22" w:rsidRPr="00C0261B">
        <w:rPr>
          <w:lang w:eastAsia="zh-CN"/>
        </w:rPr>
        <w:t xml:space="preserve"> </w:t>
      </w:r>
      <w:r w:rsidRPr="00C0261B">
        <w:rPr>
          <w:lang w:eastAsia="zh-CN"/>
        </w:rPr>
        <w:t>of the</w:t>
      </w:r>
      <w:r w:rsidR="0064390B" w:rsidRPr="00C0261B">
        <w:rPr>
          <w:lang w:eastAsia="zh-CN"/>
        </w:rPr>
        <w:t xml:space="preserve"> revenue</w:t>
      </w:r>
      <w:r w:rsidRPr="00C0261B">
        <w:rPr>
          <w:lang w:eastAsia="zh-CN"/>
        </w:rPr>
        <w:t xml:space="preserve"> distribution </w:t>
      </w:r>
      <w:r w:rsidR="00A36B22">
        <w:rPr>
          <w:lang w:eastAsia="zh-CN"/>
        </w:rPr>
        <w:t xml:space="preserve">as the portion of the distribution </w:t>
      </w:r>
      <w:r w:rsidR="00D43C05" w:rsidRPr="00C0261B">
        <w:rPr>
          <w:lang w:eastAsia="zh-CN"/>
        </w:rPr>
        <w:t xml:space="preserve">(i.e., </w:t>
      </w:r>
      <w:r w:rsidR="00557B36" w:rsidRPr="00C0261B">
        <w:rPr>
          <w:lang w:eastAsia="zh-CN"/>
        </w:rPr>
        <w:t xml:space="preserve">upper and lower </w:t>
      </w:r>
      <w:r w:rsidR="00D43C05" w:rsidRPr="00C0261B">
        <w:rPr>
          <w:lang w:eastAsia="zh-CN"/>
        </w:rPr>
        <w:t>percentile</w:t>
      </w:r>
      <w:r w:rsidR="00557B36" w:rsidRPr="00C0261B">
        <w:rPr>
          <w:lang w:eastAsia="zh-CN"/>
        </w:rPr>
        <w:t xml:space="preserve"> values</w:t>
      </w:r>
      <w:r w:rsidR="00D43C05" w:rsidRPr="00C0261B">
        <w:rPr>
          <w:lang w:eastAsia="zh-CN"/>
        </w:rPr>
        <w:t xml:space="preserve">) </w:t>
      </w:r>
      <w:r w:rsidRPr="00C0261B">
        <w:rPr>
          <w:lang w:eastAsia="zh-CN"/>
        </w:rPr>
        <w:t>where the DSCR</w:t>
      </w:r>
      <w:r w:rsidR="00D43C05" w:rsidRPr="00C0261B">
        <w:rPr>
          <w:lang w:eastAsia="zh-CN"/>
        </w:rPr>
        <w:t xml:space="preserve"> corresponds to the </w:t>
      </w:r>
      <w:r w:rsidR="00EA18B4">
        <w:rPr>
          <w:lang w:eastAsia="zh-CN"/>
        </w:rPr>
        <w:t xml:space="preserve">assumed </w:t>
      </w:r>
      <w:r w:rsidR="00D43C05" w:rsidRPr="00C0261B">
        <w:rPr>
          <w:lang w:eastAsia="zh-CN"/>
        </w:rPr>
        <w:t xml:space="preserve">COD </w:t>
      </w:r>
      <w:r w:rsidR="00EA18B4">
        <w:rPr>
          <w:lang w:eastAsia="zh-CN"/>
        </w:rPr>
        <w:t xml:space="preserve">(i.e., the </w:t>
      </w:r>
      <w:r w:rsidR="00D43C05" w:rsidRPr="00C0261B">
        <w:rPr>
          <w:lang w:eastAsia="zh-CN"/>
        </w:rPr>
        <w:t>COD determined in the CONE study</w:t>
      </w:r>
      <w:r w:rsidR="00EA18B4">
        <w:rPr>
          <w:lang w:eastAsia="zh-CN"/>
        </w:rPr>
        <w:t>)</w:t>
      </w:r>
      <w:r w:rsidR="00D43C05" w:rsidRPr="00C0261B">
        <w:rPr>
          <w:lang w:eastAsia="zh-CN"/>
        </w:rPr>
        <w:t>.</w:t>
      </w:r>
    </w:p>
    <w:p w14:paraId="06FB842B" w14:textId="4E5E307C" w:rsidR="00A803A7" w:rsidRDefault="006C12B2" w:rsidP="000318AA">
      <w:pPr>
        <w:pStyle w:val="rptmainbodyheading4"/>
        <w:rPr>
          <w:lang w:eastAsia="zh-CN"/>
        </w:rPr>
      </w:pPr>
      <w:r>
        <w:rPr>
          <w:lang w:eastAsia="zh-CN"/>
        </w:rPr>
        <w:lastRenderedPageBreak/>
        <w:t xml:space="preserve">4. </w:t>
      </w:r>
      <w:r w:rsidR="00A803A7">
        <w:rPr>
          <w:lang w:eastAsia="zh-CN"/>
        </w:rPr>
        <w:t>Develop Monte Carlo Realizations of the System in the No MOPR Case</w:t>
      </w:r>
    </w:p>
    <w:p w14:paraId="7F214EB0" w14:textId="66D2D2F0" w:rsidR="008013C2" w:rsidRPr="00CC4B07" w:rsidRDefault="00D204B5" w:rsidP="00302119">
      <w:pPr>
        <w:pStyle w:val="rptmainbodytext"/>
        <w:rPr>
          <w:lang w:eastAsia="zh-CN"/>
        </w:rPr>
      </w:pPr>
      <w:r>
        <w:rPr>
          <w:lang w:eastAsia="zh-CN"/>
        </w:rPr>
        <w:t>To develop the Monte Carlo realizations in the No MOPR case, w</w:t>
      </w:r>
      <w:r w:rsidR="00B829A2">
        <w:rPr>
          <w:lang w:eastAsia="zh-CN"/>
        </w:rPr>
        <w:t xml:space="preserve">e </w:t>
      </w:r>
      <w:r>
        <w:rPr>
          <w:lang w:eastAsia="zh-CN"/>
        </w:rPr>
        <w:t xml:space="preserve">start with </w:t>
      </w:r>
      <w:r w:rsidR="00B829A2">
        <w:rPr>
          <w:lang w:eastAsia="zh-CN"/>
        </w:rPr>
        <w:t xml:space="preserve">the </w:t>
      </w:r>
      <w:r>
        <w:rPr>
          <w:lang w:eastAsia="zh-CN"/>
        </w:rPr>
        <w:t xml:space="preserve">supply curves for all the realizations from the MOPR case, and </w:t>
      </w:r>
      <w:r w:rsidR="00AD1D86">
        <w:rPr>
          <w:lang w:eastAsia="zh-CN"/>
        </w:rPr>
        <w:t xml:space="preserve">then we </w:t>
      </w:r>
      <w:r>
        <w:rPr>
          <w:lang w:eastAsia="zh-CN"/>
        </w:rPr>
        <w:t xml:space="preserve">remove any mitigation </w:t>
      </w:r>
      <w:r w:rsidR="00DE72FE">
        <w:rPr>
          <w:lang w:eastAsia="zh-CN"/>
        </w:rPr>
        <w:t xml:space="preserve">that was applied to </w:t>
      </w:r>
      <w:r>
        <w:rPr>
          <w:lang w:eastAsia="zh-CN"/>
        </w:rPr>
        <w:t>sponsored policy resources</w:t>
      </w:r>
      <w:r w:rsidR="00102405">
        <w:rPr>
          <w:lang w:eastAsia="zh-CN"/>
        </w:rPr>
        <w:t xml:space="preserve">.  </w:t>
      </w:r>
      <w:r>
        <w:rPr>
          <w:lang w:eastAsia="zh-CN"/>
        </w:rPr>
        <w:t>W</w:t>
      </w:r>
      <w:r w:rsidR="00102405">
        <w:rPr>
          <w:lang w:eastAsia="zh-CN"/>
        </w:rPr>
        <w:t xml:space="preserve">e remove the mitigation by setting the offer floors of </w:t>
      </w:r>
      <w:r>
        <w:rPr>
          <w:lang w:eastAsia="zh-CN"/>
        </w:rPr>
        <w:t xml:space="preserve">all sponsored policy resources to $0/kW-mo.  </w:t>
      </w:r>
      <w:r w:rsidR="008155F6">
        <w:rPr>
          <w:lang w:eastAsia="zh-CN"/>
        </w:rPr>
        <w:t xml:space="preserve">All other inputs to the Monte Carlo simulation remain the same across the MOPR and No MOPR cases, except for the supply adjustment </w:t>
      </w:r>
      <w:r w:rsidR="003833C4">
        <w:rPr>
          <w:lang w:eastAsia="zh-CN"/>
        </w:rPr>
        <w:t xml:space="preserve">that is required to </w:t>
      </w:r>
      <w:r w:rsidR="00686E01">
        <w:rPr>
          <w:lang w:eastAsia="zh-CN"/>
        </w:rPr>
        <w:t>move</w:t>
      </w:r>
      <w:r w:rsidR="003833C4">
        <w:rPr>
          <w:lang w:eastAsia="zh-CN"/>
        </w:rPr>
        <w:t xml:space="preserve"> the system </w:t>
      </w:r>
      <w:r w:rsidR="00686E01">
        <w:rPr>
          <w:lang w:eastAsia="zh-CN"/>
        </w:rPr>
        <w:t>to</w:t>
      </w:r>
      <w:r w:rsidR="003833C4">
        <w:rPr>
          <w:lang w:eastAsia="zh-CN"/>
        </w:rPr>
        <w:t xml:space="preserve"> long-term equilibrium conditions</w:t>
      </w:r>
      <w:r w:rsidR="008155F6">
        <w:rPr>
          <w:lang w:eastAsia="zh-CN"/>
        </w:rPr>
        <w:t>.</w:t>
      </w:r>
    </w:p>
    <w:p w14:paraId="401CB784" w14:textId="3E8E3291" w:rsidR="001C74B4" w:rsidRDefault="006C12B2" w:rsidP="000318AA">
      <w:pPr>
        <w:pStyle w:val="rptmainbodyheading4"/>
        <w:rPr>
          <w:lang w:eastAsia="zh-CN"/>
        </w:rPr>
      </w:pPr>
      <w:r>
        <w:rPr>
          <w:lang w:eastAsia="zh-CN"/>
        </w:rPr>
        <w:t xml:space="preserve">5. </w:t>
      </w:r>
      <w:r w:rsidR="00FF505F">
        <w:rPr>
          <w:lang w:eastAsia="zh-CN"/>
        </w:rPr>
        <w:t>Adjust Supply to Move System to Long-term Equilibrium in the No MOPR Case</w:t>
      </w:r>
    </w:p>
    <w:p w14:paraId="28B906EA" w14:textId="7036B79E" w:rsidR="001C74B4" w:rsidRDefault="00E33F66" w:rsidP="001C74B4">
      <w:pPr>
        <w:pStyle w:val="rptmainbodytext"/>
        <w:rPr>
          <w:lang w:eastAsia="zh-CN"/>
        </w:rPr>
      </w:pPr>
      <w:r>
        <w:rPr>
          <w:lang w:eastAsia="zh-CN"/>
        </w:rPr>
        <w:t xml:space="preserve">Similar to the MOPR case, we </w:t>
      </w:r>
      <w:r w:rsidR="00BF178A">
        <w:rPr>
          <w:lang w:eastAsia="zh-CN"/>
        </w:rPr>
        <w:t xml:space="preserve">remove capacity from higher-cost existing resources </w:t>
      </w:r>
      <w:r w:rsidR="003B2BF7">
        <w:rPr>
          <w:lang w:eastAsia="zh-CN"/>
        </w:rPr>
        <w:t>to ensure that the long-term equilibrium condition is satisfied</w:t>
      </w:r>
      <w:r w:rsidR="00102405">
        <w:rPr>
          <w:lang w:eastAsia="zh-CN"/>
        </w:rPr>
        <w:t xml:space="preserve"> in the No MOPR case also</w:t>
      </w:r>
      <w:r w:rsidR="003B2BF7">
        <w:rPr>
          <w:lang w:eastAsia="zh-CN"/>
        </w:rPr>
        <w:t xml:space="preserve">.  Given the larger surplus </w:t>
      </w:r>
      <w:r w:rsidR="008A26FC">
        <w:rPr>
          <w:lang w:eastAsia="zh-CN"/>
        </w:rPr>
        <w:t xml:space="preserve">in the No MOPR case, a larger quantity of existing supply (relative to the MOPR case) will have to be removed to </w:t>
      </w:r>
      <w:r w:rsidR="00E17D24">
        <w:rPr>
          <w:lang w:eastAsia="zh-CN"/>
        </w:rPr>
        <w:t>set up the system under long-term equilibrium conditions.</w:t>
      </w:r>
    </w:p>
    <w:p w14:paraId="5D4B0F2E" w14:textId="69D23CFA" w:rsidR="001C74B4" w:rsidRDefault="006C12B2" w:rsidP="000318AA">
      <w:pPr>
        <w:pStyle w:val="rptmainbodyheading4"/>
        <w:rPr>
          <w:lang w:eastAsia="zh-CN"/>
        </w:rPr>
      </w:pPr>
      <w:r>
        <w:rPr>
          <w:lang w:eastAsia="zh-CN"/>
        </w:rPr>
        <w:t xml:space="preserve">6. </w:t>
      </w:r>
      <w:r w:rsidR="001C74B4">
        <w:rPr>
          <w:lang w:eastAsia="zh-CN"/>
        </w:rPr>
        <w:t xml:space="preserve">Estimate </w:t>
      </w:r>
      <w:r w:rsidR="0066680D">
        <w:rPr>
          <w:lang w:eastAsia="zh-CN"/>
        </w:rPr>
        <w:t xml:space="preserve">Observed </w:t>
      </w:r>
      <w:r w:rsidR="0058720D">
        <w:rPr>
          <w:lang w:eastAsia="zh-CN"/>
        </w:rPr>
        <w:t>COE and COD</w:t>
      </w:r>
      <w:r w:rsidR="001C74B4">
        <w:rPr>
          <w:lang w:eastAsia="zh-CN"/>
        </w:rPr>
        <w:t xml:space="preserve"> in the No MOPR Case</w:t>
      </w:r>
    </w:p>
    <w:p w14:paraId="12AB14B0" w14:textId="49C3DE89" w:rsidR="005E40AB" w:rsidRDefault="00B46E08" w:rsidP="00302119">
      <w:pPr>
        <w:pStyle w:val="rptmainbodytext"/>
        <w:rPr>
          <w:lang w:eastAsia="zh-CN"/>
        </w:rPr>
      </w:pPr>
      <w:r>
        <w:rPr>
          <w:lang w:eastAsia="zh-CN"/>
        </w:rPr>
        <w:t xml:space="preserve">We </w:t>
      </w:r>
      <w:r w:rsidR="00D64ED8">
        <w:rPr>
          <w:lang w:eastAsia="zh-CN"/>
        </w:rPr>
        <w:t>use</w:t>
      </w:r>
      <w:r w:rsidR="00713CB1">
        <w:rPr>
          <w:lang w:eastAsia="zh-CN"/>
        </w:rPr>
        <w:t xml:space="preserve"> the revenue distri</w:t>
      </w:r>
      <w:r w:rsidR="001169DB">
        <w:rPr>
          <w:lang w:eastAsia="zh-CN"/>
        </w:rPr>
        <w:t xml:space="preserve">bution </w:t>
      </w:r>
      <w:r w:rsidR="00D50A84">
        <w:rPr>
          <w:lang w:eastAsia="zh-CN"/>
        </w:rPr>
        <w:t xml:space="preserve">to estimate </w:t>
      </w:r>
      <w:r w:rsidR="004A6B6C">
        <w:rPr>
          <w:lang w:eastAsia="zh-CN"/>
        </w:rPr>
        <w:t>the observed</w:t>
      </w:r>
      <w:r w:rsidR="00762634">
        <w:rPr>
          <w:lang w:eastAsia="zh-CN"/>
        </w:rPr>
        <w:t xml:space="preserve"> </w:t>
      </w:r>
      <w:r w:rsidR="00D50A84">
        <w:rPr>
          <w:lang w:eastAsia="zh-CN"/>
        </w:rPr>
        <w:t>COE and COD in the No MOPR case.</w:t>
      </w:r>
    </w:p>
    <w:p w14:paraId="3A3AE0E3" w14:textId="44E1DC9D" w:rsidR="005E40AB" w:rsidRDefault="00D50A84" w:rsidP="004B46C5">
      <w:pPr>
        <w:pStyle w:val="rptmainbodybullets1"/>
        <w:rPr>
          <w:lang w:eastAsia="zh-CN"/>
        </w:rPr>
      </w:pPr>
      <w:r>
        <w:rPr>
          <w:lang w:eastAsia="zh-CN"/>
        </w:rPr>
        <w:t xml:space="preserve">For COE, we </w:t>
      </w:r>
      <w:r w:rsidR="001C0EF2">
        <w:rPr>
          <w:lang w:eastAsia="zh-CN"/>
        </w:rPr>
        <w:t>calculate</w:t>
      </w:r>
      <w:r>
        <w:rPr>
          <w:lang w:eastAsia="zh-CN"/>
        </w:rPr>
        <w:t xml:space="preserve"> </w:t>
      </w:r>
      <w:r w:rsidR="00AC7562">
        <w:rPr>
          <w:lang w:eastAsia="zh-CN"/>
        </w:rPr>
        <w:t xml:space="preserve">the standard deviation of the </w:t>
      </w:r>
      <w:r w:rsidR="001C0EF2">
        <w:rPr>
          <w:lang w:eastAsia="zh-CN"/>
        </w:rPr>
        <w:t xml:space="preserve">revenues in the No MOPR case and use the relationship </w:t>
      </w:r>
      <w:r w:rsidR="00393B6C">
        <w:rPr>
          <w:lang w:eastAsia="zh-CN"/>
        </w:rPr>
        <w:t xml:space="preserve">discussed in </w:t>
      </w:r>
      <w:r w:rsidR="00670980">
        <w:rPr>
          <w:lang w:eastAsia="zh-CN"/>
        </w:rPr>
        <w:t xml:space="preserve">subsection </w:t>
      </w:r>
      <w:r w:rsidR="002A770E">
        <w:rPr>
          <w:lang w:eastAsia="zh-CN"/>
        </w:rPr>
        <w:fldChar w:fldCharType="begin"/>
      </w:r>
      <w:r w:rsidR="002A770E">
        <w:rPr>
          <w:lang w:eastAsia="zh-CN"/>
        </w:rPr>
        <w:instrText xml:space="preserve"> REF _Ref85455386 \r \h </w:instrText>
      </w:r>
      <w:r w:rsidR="002A770E">
        <w:rPr>
          <w:lang w:eastAsia="zh-CN"/>
        </w:rPr>
      </w:r>
      <w:r w:rsidR="002A770E">
        <w:rPr>
          <w:lang w:eastAsia="zh-CN"/>
        </w:rPr>
        <w:fldChar w:fldCharType="separate"/>
      </w:r>
      <w:r w:rsidR="002A770E">
        <w:rPr>
          <w:lang w:eastAsia="zh-CN"/>
        </w:rPr>
        <w:t>B</w:t>
      </w:r>
      <w:r w:rsidR="002A770E">
        <w:rPr>
          <w:lang w:eastAsia="zh-CN"/>
        </w:rPr>
        <w:fldChar w:fldCharType="end"/>
      </w:r>
      <w:r w:rsidR="002A770E">
        <w:rPr>
          <w:lang w:eastAsia="zh-CN"/>
        </w:rPr>
        <w:t>.</w:t>
      </w:r>
      <w:r w:rsidR="002A770E">
        <w:rPr>
          <w:lang w:eastAsia="zh-CN"/>
        </w:rPr>
        <w:fldChar w:fldCharType="begin"/>
      </w:r>
      <w:r w:rsidR="002A770E">
        <w:rPr>
          <w:lang w:eastAsia="zh-CN"/>
        </w:rPr>
        <w:instrText xml:space="preserve"> REF _Ref85455389 \r \h </w:instrText>
      </w:r>
      <w:r w:rsidR="002A770E">
        <w:rPr>
          <w:lang w:eastAsia="zh-CN"/>
        </w:rPr>
      </w:r>
      <w:r w:rsidR="002A770E">
        <w:rPr>
          <w:lang w:eastAsia="zh-CN"/>
        </w:rPr>
        <w:fldChar w:fldCharType="separate"/>
      </w:r>
      <w:r w:rsidR="002A770E">
        <w:rPr>
          <w:lang w:eastAsia="zh-CN"/>
        </w:rPr>
        <w:t>1</w:t>
      </w:r>
      <w:r w:rsidR="002A770E">
        <w:rPr>
          <w:lang w:eastAsia="zh-CN"/>
        </w:rPr>
        <w:fldChar w:fldCharType="end"/>
      </w:r>
      <w:r w:rsidR="00B44E44">
        <w:rPr>
          <w:lang w:eastAsia="zh-CN"/>
        </w:rPr>
        <w:t xml:space="preserve"> to estimate the </w:t>
      </w:r>
      <w:r w:rsidR="009652E4">
        <w:rPr>
          <w:lang w:eastAsia="zh-CN"/>
        </w:rPr>
        <w:t xml:space="preserve">observed </w:t>
      </w:r>
      <w:r w:rsidR="00B44E44">
        <w:rPr>
          <w:lang w:eastAsia="zh-CN"/>
        </w:rPr>
        <w:t>COE in the No MOPR case.</w:t>
      </w:r>
    </w:p>
    <w:p w14:paraId="06100D67" w14:textId="7AB4E972" w:rsidR="00D50A84" w:rsidRPr="00722EFF" w:rsidRDefault="00D50A84" w:rsidP="004B46C5">
      <w:pPr>
        <w:pStyle w:val="rptmainbodybullets1"/>
        <w:rPr>
          <w:lang w:eastAsia="zh-CN"/>
        </w:rPr>
      </w:pPr>
      <w:r w:rsidRPr="00722EFF">
        <w:rPr>
          <w:lang w:eastAsia="zh-CN"/>
        </w:rPr>
        <w:t xml:space="preserve">For COD, </w:t>
      </w:r>
      <w:r w:rsidR="00AC7562" w:rsidRPr="00722EFF">
        <w:rPr>
          <w:lang w:eastAsia="zh-CN"/>
        </w:rPr>
        <w:t xml:space="preserve">we estimate the </w:t>
      </w:r>
      <w:r w:rsidR="007A44EC">
        <w:rPr>
          <w:lang w:eastAsia="zh-CN"/>
        </w:rPr>
        <w:t xml:space="preserve">Rating Case </w:t>
      </w:r>
      <w:r w:rsidR="00AC7562" w:rsidRPr="00722EFF">
        <w:rPr>
          <w:lang w:eastAsia="zh-CN"/>
        </w:rPr>
        <w:t xml:space="preserve">DSCR </w:t>
      </w:r>
      <w:r w:rsidR="006B1F7B" w:rsidRPr="00722EFF">
        <w:rPr>
          <w:lang w:eastAsia="zh-CN"/>
        </w:rPr>
        <w:t xml:space="preserve">in the No MOPR case based on the </w:t>
      </w:r>
      <w:r w:rsidR="00C23875" w:rsidRPr="00722EFF">
        <w:rPr>
          <w:lang w:eastAsia="zh-CN"/>
        </w:rPr>
        <w:t xml:space="preserve">average </w:t>
      </w:r>
      <w:r w:rsidR="006B1F7B" w:rsidRPr="00722EFF">
        <w:rPr>
          <w:lang w:eastAsia="zh-CN"/>
        </w:rPr>
        <w:t xml:space="preserve">revenues </w:t>
      </w:r>
      <w:r w:rsidR="000C4166" w:rsidRPr="00722EFF">
        <w:rPr>
          <w:lang w:eastAsia="zh-CN"/>
        </w:rPr>
        <w:t xml:space="preserve">from </w:t>
      </w:r>
      <w:r w:rsidR="00C22CB0" w:rsidRPr="00722EFF">
        <w:rPr>
          <w:lang w:eastAsia="zh-CN"/>
        </w:rPr>
        <w:t xml:space="preserve">the </w:t>
      </w:r>
      <w:r w:rsidR="00A36B22">
        <w:rPr>
          <w:lang w:eastAsia="zh-CN"/>
        </w:rPr>
        <w:t xml:space="preserve">Rating Case range of the distribution </w:t>
      </w:r>
      <w:r w:rsidR="00410570" w:rsidRPr="00722EFF">
        <w:rPr>
          <w:lang w:eastAsia="zh-CN"/>
        </w:rPr>
        <w:t xml:space="preserve">determined in </w:t>
      </w:r>
      <w:r w:rsidR="0016578E">
        <w:rPr>
          <w:lang w:eastAsia="zh-CN"/>
        </w:rPr>
        <w:t>step 3</w:t>
      </w:r>
      <w:r w:rsidR="0016578E" w:rsidRPr="00722EFF">
        <w:rPr>
          <w:lang w:eastAsia="zh-CN"/>
        </w:rPr>
        <w:t xml:space="preserve"> </w:t>
      </w:r>
      <w:r w:rsidR="00410570" w:rsidRPr="00722EFF">
        <w:rPr>
          <w:lang w:eastAsia="zh-CN"/>
        </w:rPr>
        <w:t>above</w:t>
      </w:r>
      <w:r w:rsidR="004C1A7D">
        <w:rPr>
          <w:lang w:eastAsia="zh-CN"/>
        </w:rPr>
        <w:t xml:space="preserve">, and </w:t>
      </w:r>
      <w:r w:rsidR="00322278">
        <w:rPr>
          <w:lang w:eastAsia="zh-CN"/>
        </w:rPr>
        <w:t xml:space="preserve">we </w:t>
      </w:r>
      <w:r w:rsidR="004C1A7D">
        <w:rPr>
          <w:lang w:eastAsia="zh-CN"/>
        </w:rPr>
        <w:t xml:space="preserve">use the </w:t>
      </w:r>
      <w:r w:rsidR="007A44EC">
        <w:rPr>
          <w:lang w:eastAsia="zh-CN"/>
        </w:rPr>
        <w:t xml:space="preserve">assumed </w:t>
      </w:r>
      <w:r w:rsidR="004C1A7D">
        <w:rPr>
          <w:lang w:eastAsia="zh-CN"/>
        </w:rPr>
        <w:t xml:space="preserve">relationship </w:t>
      </w:r>
      <w:r w:rsidR="007A44EC">
        <w:rPr>
          <w:lang w:eastAsia="zh-CN"/>
        </w:rPr>
        <w:t xml:space="preserve">between Rating Case DSCR and COD </w:t>
      </w:r>
      <w:r w:rsidR="00670980">
        <w:rPr>
          <w:lang w:eastAsia="zh-CN"/>
        </w:rPr>
        <w:t>(see</w:t>
      </w:r>
      <w:r w:rsidR="004C1A7D">
        <w:rPr>
          <w:lang w:eastAsia="zh-CN"/>
        </w:rPr>
        <w:t xml:space="preserve"> </w:t>
      </w:r>
      <w:r w:rsidR="00DD7C10">
        <w:rPr>
          <w:lang w:eastAsia="zh-CN"/>
        </w:rPr>
        <w:fldChar w:fldCharType="begin"/>
      </w:r>
      <w:r w:rsidR="00DD7C10">
        <w:rPr>
          <w:lang w:eastAsia="zh-CN"/>
        </w:rPr>
        <w:instrText xml:space="preserve"> REF _Ref86064632 \h </w:instrText>
      </w:r>
      <w:r w:rsidR="00DD7C10">
        <w:rPr>
          <w:lang w:eastAsia="zh-CN"/>
        </w:rPr>
      </w:r>
      <w:r w:rsidR="00DD7C10">
        <w:rPr>
          <w:lang w:eastAsia="zh-CN"/>
        </w:rPr>
        <w:fldChar w:fldCharType="separate"/>
      </w:r>
      <w:r w:rsidR="00DD7C10">
        <w:t xml:space="preserve">Figure </w:t>
      </w:r>
      <w:r w:rsidR="00DD7C10">
        <w:rPr>
          <w:noProof/>
        </w:rPr>
        <w:t>6</w:t>
      </w:r>
      <w:r w:rsidR="00DD7C10">
        <w:rPr>
          <w:lang w:eastAsia="zh-CN"/>
        </w:rPr>
        <w:fldChar w:fldCharType="end"/>
      </w:r>
      <w:r w:rsidR="00670980">
        <w:rPr>
          <w:lang w:eastAsia="zh-CN"/>
        </w:rPr>
        <w:t>)</w:t>
      </w:r>
      <w:r w:rsidR="00DD7C10">
        <w:rPr>
          <w:lang w:eastAsia="zh-CN"/>
        </w:rPr>
        <w:t xml:space="preserve"> </w:t>
      </w:r>
      <w:r w:rsidR="004C1A7D">
        <w:rPr>
          <w:lang w:eastAsia="zh-CN"/>
        </w:rPr>
        <w:t xml:space="preserve">to estimate the </w:t>
      </w:r>
      <w:r w:rsidR="008B6FE7">
        <w:rPr>
          <w:lang w:eastAsia="zh-CN"/>
        </w:rPr>
        <w:t>observed</w:t>
      </w:r>
      <w:r w:rsidR="004C1A7D">
        <w:rPr>
          <w:lang w:eastAsia="zh-CN"/>
        </w:rPr>
        <w:t xml:space="preserve"> COD in the No MOPR case</w:t>
      </w:r>
      <w:r w:rsidR="00C22CB0" w:rsidRPr="00722EFF">
        <w:rPr>
          <w:lang w:eastAsia="zh-CN"/>
        </w:rPr>
        <w:t>.</w:t>
      </w:r>
    </w:p>
    <w:p w14:paraId="49EE3CFF" w14:textId="493FC9D1" w:rsidR="00422FFB" w:rsidRDefault="006C12B2" w:rsidP="000318AA">
      <w:pPr>
        <w:pStyle w:val="rptmainbodyheading4"/>
        <w:rPr>
          <w:lang w:eastAsia="zh-CN"/>
        </w:rPr>
      </w:pPr>
      <w:r>
        <w:rPr>
          <w:lang w:eastAsia="zh-CN"/>
        </w:rPr>
        <w:t xml:space="preserve">7. </w:t>
      </w:r>
      <w:r w:rsidR="00D31AD9">
        <w:rPr>
          <w:lang w:eastAsia="zh-CN"/>
        </w:rPr>
        <w:t>Evaluate</w:t>
      </w:r>
      <w:r w:rsidR="00EC2656">
        <w:rPr>
          <w:lang w:eastAsia="zh-CN"/>
        </w:rPr>
        <w:t xml:space="preserve"> </w:t>
      </w:r>
      <w:r w:rsidR="00952031">
        <w:rPr>
          <w:lang w:eastAsia="zh-CN"/>
        </w:rPr>
        <w:t>Consisten</w:t>
      </w:r>
      <w:r w:rsidR="00D31AD9">
        <w:rPr>
          <w:lang w:eastAsia="zh-CN"/>
        </w:rPr>
        <w:t>cy of</w:t>
      </w:r>
      <w:r w:rsidR="00952031">
        <w:rPr>
          <w:lang w:eastAsia="zh-CN"/>
        </w:rPr>
        <w:t xml:space="preserve"> </w:t>
      </w:r>
      <w:r w:rsidR="008B6FE7">
        <w:rPr>
          <w:lang w:eastAsia="zh-CN"/>
        </w:rPr>
        <w:t xml:space="preserve">Observed </w:t>
      </w:r>
      <w:r w:rsidR="001E4E28">
        <w:rPr>
          <w:lang w:eastAsia="zh-CN"/>
        </w:rPr>
        <w:t>COE and COD</w:t>
      </w:r>
      <w:r w:rsidR="00422FFB">
        <w:rPr>
          <w:lang w:eastAsia="zh-CN"/>
        </w:rPr>
        <w:t xml:space="preserve"> </w:t>
      </w:r>
      <w:r w:rsidR="00013006">
        <w:rPr>
          <w:lang w:eastAsia="zh-CN"/>
        </w:rPr>
        <w:t xml:space="preserve">with </w:t>
      </w:r>
      <w:r w:rsidR="00A34661">
        <w:rPr>
          <w:lang w:eastAsia="zh-CN"/>
        </w:rPr>
        <w:t>Assumed Values</w:t>
      </w:r>
      <w:r w:rsidR="00E6203B">
        <w:rPr>
          <w:lang w:eastAsia="zh-CN"/>
        </w:rPr>
        <w:t xml:space="preserve"> </w:t>
      </w:r>
      <w:r w:rsidR="00FA6FA5">
        <w:rPr>
          <w:lang w:eastAsia="zh-CN"/>
        </w:rPr>
        <w:t>underlying</w:t>
      </w:r>
      <w:r w:rsidR="00E6203B">
        <w:rPr>
          <w:lang w:eastAsia="zh-CN"/>
        </w:rPr>
        <w:t xml:space="preserve"> Revenue Distribution</w:t>
      </w:r>
    </w:p>
    <w:p w14:paraId="449E7C74" w14:textId="14C1C144" w:rsidR="00EF4206" w:rsidRDefault="005907BB" w:rsidP="00302119">
      <w:pPr>
        <w:pStyle w:val="rptmainbodytext"/>
        <w:rPr>
          <w:lang w:eastAsia="zh-CN"/>
        </w:rPr>
      </w:pPr>
      <w:r>
        <w:rPr>
          <w:lang w:eastAsia="zh-CN"/>
        </w:rPr>
        <w:t>If t</w:t>
      </w:r>
      <w:r w:rsidR="00753965">
        <w:rPr>
          <w:lang w:eastAsia="zh-CN"/>
        </w:rPr>
        <w:t xml:space="preserve">he </w:t>
      </w:r>
      <w:r w:rsidR="00E660E4">
        <w:rPr>
          <w:lang w:eastAsia="zh-CN"/>
        </w:rPr>
        <w:t xml:space="preserve">observed </w:t>
      </w:r>
      <w:r w:rsidR="00753965">
        <w:rPr>
          <w:lang w:eastAsia="zh-CN"/>
        </w:rPr>
        <w:t xml:space="preserve">values for COE and COD are higher </w:t>
      </w:r>
      <w:r>
        <w:rPr>
          <w:lang w:eastAsia="zh-CN"/>
        </w:rPr>
        <w:t>than the initial assumed values</w:t>
      </w:r>
      <w:r w:rsidR="00753965">
        <w:rPr>
          <w:lang w:eastAsia="zh-CN"/>
        </w:rPr>
        <w:t xml:space="preserve"> in the No MOPR case</w:t>
      </w:r>
      <w:r w:rsidR="00491114">
        <w:rPr>
          <w:lang w:eastAsia="zh-CN"/>
        </w:rPr>
        <w:t>, then the analysis is repeated using different assumed values of COE and COD.</w:t>
      </w:r>
      <w:r w:rsidR="00753965">
        <w:rPr>
          <w:lang w:eastAsia="zh-CN"/>
        </w:rPr>
        <w:t xml:space="preserve">  </w:t>
      </w:r>
      <w:r w:rsidR="00A8184F">
        <w:rPr>
          <w:lang w:eastAsia="zh-CN"/>
        </w:rPr>
        <w:t>An increase in the assumed COE and COD affects</w:t>
      </w:r>
      <w:r w:rsidR="00EF4206">
        <w:rPr>
          <w:lang w:eastAsia="zh-CN"/>
        </w:rPr>
        <w:t xml:space="preserve"> both the supply and demand curves </w:t>
      </w:r>
      <w:r w:rsidR="00A13B2C">
        <w:rPr>
          <w:lang w:eastAsia="zh-CN"/>
        </w:rPr>
        <w:t>in the next iteration of the No MOPR case</w:t>
      </w:r>
      <w:r w:rsidR="00EF4206">
        <w:rPr>
          <w:lang w:eastAsia="zh-CN"/>
        </w:rPr>
        <w:t xml:space="preserve"> since</w:t>
      </w:r>
      <w:r w:rsidR="0039256F">
        <w:rPr>
          <w:lang w:eastAsia="zh-CN"/>
        </w:rPr>
        <w:t>:</w:t>
      </w:r>
    </w:p>
    <w:p w14:paraId="56336DA4" w14:textId="320EF6F0" w:rsidR="00EF4206" w:rsidRDefault="00753965" w:rsidP="006129C2">
      <w:pPr>
        <w:pStyle w:val="rptmainbodybullets1"/>
      </w:pPr>
      <w:r>
        <w:t xml:space="preserve">(a) </w:t>
      </w:r>
      <w:r w:rsidR="00A13B2C">
        <w:t xml:space="preserve">A </w:t>
      </w:r>
      <w:r>
        <w:t xml:space="preserve">higher </w:t>
      </w:r>
      <w:r w:rsidR="00EF4206">
        <w:t>WACC increase</w:t>
      </w:r>
      <w:r w:rsidR="00A13B2C">
        <w:t>s</w:t>
      </w:r>
      <w:r w:rsidR="00EF4206">
        <w:t xml:space="preserve"> the </w:t>
      </w:r>
      <w:r>
        <w:t>Net CONE</w:t>
      </w:r>
      <w:r w:rsidR="00903585">
        <w:t xml:space="preserve"> </w:t>
      </w:r>
      <w:r w:rsidR="00EF4206">
        <w:t xml:space="preserve">of the reference unit </w:t>
      </w:r>
      <w:r w:rsidR="00903585">
        <w:t>and</w:t>
      </w:r>
      <w:r>
        <w:t xml:space="preserve">, </w:t>
      </w:r>
      <w:r w:rsidR="00903585">
        <w:t xml:space="preserve">consequently, </w:t>
      </w:r>
      <w:r w:rsidR="0070240D">
        <w:t>the</w:t>
      </w:r>
      <w:r>
        <w:t xml:space="preserve"> </w:t>
      </w:r>
      <w:r w:rsidR="00837EA4">
        <w:t xml:space="preserve">capacity </w:t>
      </w:r>
      <w:r>
        <w:t xml:space="preserve">demand curve, and </w:t>
      </w:r>
    </w:p>
    <w:p w14:paraId="3D1ED1F6" w14:textId="19B204D2" w:rsidR="00294149" w:rsidRDefault="00753965" w:rsidP="006129C2">
      <w:pPr>
        <w:pStyle w:val="rptmainbodybullets1"/>
      </w:pPr>
      <w:r>
        <w:t xml:space="preserve">(b) </w:t>
      </w:r>
      <w:r w:rsidR="0070240D">
        <w:t xml:space="preserve">A </w:t>
      </w:r>
      <w:r>
        <w:t xml:space="preserve">higher </w:t>
      </w:r>
      <w:r w:rsidR="00294149">
        <w:t>WACC increase</w:t>
      </w:r>
      <w:r w:rsidR="0070240D">
        <w:t>s</w:t>
      </w:r>
      <w:r w:rsidR="00294149">
        <w:t xml:space="preserve"> the capacity </w:t>
      </w:r>
      <w:r>
        <w:t xml:space="preserve">supply offers from new </w:t>
      </w:r>
      <w:r w:rsidR="00294149">
        <w:t xml:space="preserve">merchant </w:t>
      </w:r>
      <w:r>
        <w:t xml:space="preserve">resources.  </w:t>
      </w:r>
    </w:p>
    <w:p w14:paraId="23E22D6B" w14:textId="7EFBFF97" w:rsidR="00753965" w:rsidRDefault="00753965" w:rsidP="00302119">
      <w:pPr>
        <w:pStyle w:val="rptmainbodytext"/>
        <w:rPr>
          <w:lang w:eastAsia="zh-CN"/>
        </w:rPr>
      </w:pPr>
      <w:r>
        <w:rPr>
          <w:lang w:eastAsia="zh-CN"/>
        </w:rPr>
        <w:t xml:space="preserve">Hence, </w:t>
      </w:r>
      <w:r w:rsidR="007807A7">
        <w:rPr>
          <w:lang w:eastAsia="zh-CN"/>
        </w:rPr>
        <w:t xml:space="preserve">the Monte Carlo simulation </w:t>
      </w:r>
      <w:r w:rsidR="003B50E5">
        <w:rPr>
          <w:lang w:eastAsia="zh-CN"/>
        </w:rPr>
        <w:t xml:space="preserve">is </w:t>
      </w:r>
      <w:r w:rsidR="00294149">
        <w:rPr>
          <w:lang w:eastAsia="zh-CN"/>
        </w:rPr>
        <w:t>repeated</w:t>
      </w:r>
      <w:r w:rsidR="00B47EA9">
        <w:rPr>
          <w:lang w:eastAsia="zh-CN"/>
        </w:rPr>
        <w:t xml:space="preserve"> </w:t>
      </w:r>
      <w:r w:rsidR="00D85B3B">
        <w:rPr>
          <w:lang w:eastAsia="zh-CN"/>
        </w:rPr>
        <w:t>(by returning to step 4)</w:t>
      </w:r>
      <w:r w:rsidR="00B47EA9">
        <w:rPr>
          <w:lang w:eastAsia="zh-CN"/>
        </w:rPr>
        <w:t xml:space="preserve"> using updated supply and demand curves</w:t>
      </w:r>
      <w:r w:rsidR="00F156D6">
        <w:rPr>
          <w:lang w:eastAsia="zh-CN"/>
        </w:rPr>
        <w:t xml:space="preserve"> based on the last observed COE and COD values</w:t>
      </w:r>
      <w:r w:rsidR="00817103">
        <w:rPr>
          <w:lang w:eastAsia="zh-CN"/>
        </w:rPr>
        <w:t xml:space="preserve">.  This </w:t>
      </w:r>
      <w:r w:rsidR="00D85B3B">
        <w:rPr>
          <w:lang w:eastAsia="zh-CN"/>
        </w:rPr>
        <w:t>is repeated until the observed COE and COD</w:t>
      </w:r>
      <w:r w:rsidR="008E0425">
        <w:rPr>
          <w:lang w:eastAsia="zh-CN"/>
        </w:rPr>
        <w:t xml:space="preserve"> at the end of step 7</w:t>
      </w:r>
      <w:r w:rsidR="00D85B3B">
        <w:rPr>
          <w:lang w:eastAsia="zh-CN"/>
        </w:rPr>
        <w:t xml:space="preserve"> converge to the </w:t>
      </w:r>
      <w:r w:rsidR="008E0425">
        <w:rPr>
          <w:lang w:eastAsia="zh-CN"/>
        </w:rPr>
        <w:t xml:space="preserve">values </w:t>
      </w:r>
      <w:r w:rsidR="00D85B3B">
        <w:rPr>
          <w:lang w:eastAsia="zh-CN"/>
        </w:rPr>
        <w:t xml:space="preserve">assumed </w:t>
      </w:r>
      <w:r w:rsidR="008E0425">
        <w:rPr>
          <w:lang w:eastAsia="zh-CN"/>
        </w:rPr>
        <w:t>in step 4</w:t>
      </w:r>
      <w:r w:rsidR="00D85B3B">
        <w:rPr>
          <w:lang w:eastAsia="zh-CN"/>
        </w:rPr>
        <w:t>.</w:t>
      </w:r>
      <w:r w:rsidR="00817103">
        <w:rPr>
          <w:lang w:eastAsia="zh-CN"/>
        </w:rPr>
        <w:t xml:space="preserve"> </w:t>
      </w:r>
      <w:r w:rsidR="00157830">
        <w:rPr>
          <w:lang w:eastAsia="zh-CN"/>
        </w:rPr>
        <w:t xml:space="preserve"> Thus</w:t>
      </w:r>
      <w:r>
        <w:rPr>
          <w:lang w:eastAsia="zh-CN"/>
        </w:rPr>
        <w:t xml:space="preserve">, we </w:t>
      </w:r>
      <w:r w:rsidR="006C0EF5">
        <w:rPr>
          <w:lang w:eastAsia="zh-CN"/>
        </w:rPr>
        <w:lastRenderedPageBreak/>
        <w:t xml:space="preserve">gradually </w:t>
      </w:r>
      <w:r w:rsidR="00046CCD">
        <w:rPr>
          <w:lang w:eastAsia="zh-CN"/>
        </w:rPr>
        <w:t xml:space="preserve">adjust </w:t>
      </w:r>
      <w:r>
        <w:rPr>
          <w:lang w:eastAsia="zh-CN"/>
        </w:rPr>
        <w:t xml:space="preserve">the COE, COD and the supply adjustment (see </w:t>
      </w:r>
      <w:r w:rsidR="006969EC">
        <w:rPr>
          <w:lang w:eastAsia="zh-CN"/>
        </w:rPr>
        <w:t xml:space="preserve">step </w:t>
      </w:r>
      <w:r>
        <w:rPr>
          <w:lang w:eastAsia="zh-CN"/>
        </w:rPr>
        <w:t xml:space="preserve">5 above) </w:t>
      </w:r>
      <w:r w:rsidR="006C0EF5">
        <w:rPr>
          <w:lang w:eastAsia="zh-CN"/>
        </w:rPr>
        <w:t>and iterate until</w:t>
      </w:r>
      <w:r>
        <w:rPr>
          <w:lang w:eastAsia="zh-CN"/>
        </w:rPr>
        <w:t xml:space="preserve"> the conditions below are satisfied:</w:t>
      </w:r>
    </w:p>
    <w:p w14:paraId="51CBFCDA" w14:textId="27B60562" w:rsidR="00753965" w:rsidRPr="00753965" w:rsidRDefault="00450386" w:rsidP="00484E2F">
      <w:pPr>
        <w:pStyle w:val="rptmainbodybullets1"/>
        <w:rPr>
          <w:lang w:eastAsia="zh-CN"/>
        </w:rPr>
      </w:pPr>
      <w:r>
        <w:rPr>
          <w:lang w:eastAsia="zh-CN"/>
        </w:rPr>
        <w:t>T</w:t>
      </w:r>
      <w:r w:rsidR="00753965" w:rsidRPr="00753965">
        <w:rPr>
          <w:lang w:eastAsia="zh-CN"/>
        </w:rPr>
        <w:t>he WACC used to calculate demand curve and supply offers is consistent with the WACC implied by volatility of revenues</w:t>
      </w:r>
      <w:r w:rsidR="0076464D">
        <w:rPr>
          <w:lang w:eastAsia="zh-CN"/>
        </w:rPr>
        <w:t>, and</w:t>
      </w:r>
    </w:p>
    <w:p w14:paraId="1E8B4E15" w14:textId="783C2D7F" w:rsidR="00E80486" w:rsidRPr="00753965" w:rsidRDefault="008A1803" w:rsidP="00484E2F">
      <w:pPr>
        <w:pStyle w:val="rptmainbodybullets1"/>
        <w:rPr>
          <w:lang w:eastAsia="zh-CN"/>
        </w:rPr>
      </w:pPr>
      <w:r>
        <w:rPr>
          <w:lang w:eastAsia="zh-CN"/>
        </w:rPr>
        <w:t xml:space="preserve">The </w:t>
      </w:r>
      <w:r w:rsidR="00753965" w:rsidRPr="00484E2F">
        <w:rPr>
          <w:lang w:eastAsia="zh-CN"/>
        </w:rPr>
        <w:t xml:space="preserve">Gross CONE of </w:t>
      </w:r>
      <w:r w:rsidR="00365242">
        <w:rPr>
          <w:lang w:eastAsia="zh-CN"/>
        </w:rPr>
        <w:t>r</w:t>
      </w:r>
      <w:r w:rsidR="00365242" w:rsidRPr="00484E2F">
        <w:rPr>
          <w:lang w:eastAsia="zh-CN"/>
        </w:rPr>
        <w:t xml:space="preserve">eference </w:t>
      </w:r>
      <w:r w:rsidR="00365242">
        <w:rPr>
          <w:lang w:eastAsia="zh-CN"/>
        </w:rPr>
        <w:t>u</w:t>
      </w:r>
      <w:r w:rsidR="00365242" w:rsidRPr="00484E2F">
        <w:rPr>
          <w:lang w:eastAsia="zh-CN"/>
        </w:rPr>
        <w:t xml:space="preserve">nit </w:t>
      </w:r>
      <w:r>
        <w:rPr>
          <w:lang w:eastAsia="zh-CN"/>
        </w:rPr>
        <w:t>equals the</w:t>
      </w:r>
      <w:r w:rsidRPr="00484E2F">
        <w:rPr>
          <w:lang w:eastAsia="zh-CN"/>
        </w:rPr>
        <w:t xml:space="preserve"> </w:t>
      </w:r>
      <w:r>
        <w:rPr>
          <w:lang w:eastAsia="zh-CN"/>
        </w:rPr>
        <w:t>average t</w:t>
      </w:r>
      <w:r w:rsidRPr="00484E2F">
        <w:rPr>
          <w:lang w:eastAsia="zh-CN"/>
        </w:rPr>
        <w:t xml:space="preserve">otal </w:t>
      </w:r>
      <w:r>
        <w:rPr>
          <w:lang w:eastAsia="zh-CN"/>
        </w:rPr>
        <w:t>r</w:t>
      </w:r>
      <w:r w:rsidRPr="00484E2F">
        <w:rPr>
          <w:lang w:eastAsia="zh-CN"/>
        </w:rPr>
        <w:t xml:space="preserve">evenues </w:t>
      </w:r>
      <w:r w:rsidR="00753965" w:rsidRPr="00484E2F">
        <w:rPr>
          <w:lang w:eastAsia="zh-CN"/>
        </w:rPr>
        <w:t xml:space="preserve">of the </w:t>
      </w:r>
      <w:r w:rsidR="00365242">
        <w:rPr>
          <w:lang w:eastAsia="zh-CN"/>
        </w:rPr>
        <w:t>r</w:t>
      </w:r>
      <w:r w:rsidR="00365242" w:rsidRPr="00484E2F">
        <w:rPr>
          <w:lang w:eastAsia="zh-CN"/>
        </w:rPr>
        <w:t xml:space="preserve">eference </w:t>
      </w:r>
      <w:r w:rsidR="00365242">
        <w:rPr>
          <w:lang w:eastAsia="zh-CN"/>
        </w:rPr>
        <w:t>u</w:t>
      </w:r>
      <w:r w:rsidR="00365242" w:rsidRPr="00484E2F">
        <w:rPr>
          <w:lang w:eastAsia="zh-CN"/>
        </w:rPr>
        <w:t>nit</w:t>
      </w:r>
      <w:r>
        <w:rPr>
          <w:lang w:eastAsia="zh-CN"/>
        </w:rPr>
        <w:t>.</w:t>
      </w:r>
    </w:p>
    <w:p w14:paraId="75AA4FC7" w14:textId="37AA4FE2" w:rsidR="00422FFB" w:rsidRDefault="006C12B2" w:rsidP="000318AA">
      <w:pPr>
        <w:pStyle w:val="rptmainbodyheading4"/>
        <w:rPr>
          <w:lang w:eastAsia="zh-CN"/>
        </w:rPr>
      </w:pPr>
      <w:r>
        <w:rPr>
          <w:lang w:eastAsia="zh-CN"/>
        </w:rPr>
        <w:t xml:space="preserve">8. </w:t>
      </w:r>
      <w:r w:rsidR="00B247B0">
        <w:rPr>
          <w:lang w:eastAsia="zh-CN"/>
        </w:rPr>
        <w:t xml:space="preserve">Determine Optimal </w:t>
      </w:r>
      <w:r w:rsidR="0037273D">
        <w:rPr>
          <w:lang w:eastAsia="zh-CN"/>
        </w:rPr>
        <w:t xml:space="preserve">Debt </w:t>
      </w:r>
      <w:r w:rsidR="00B247B0">
        <w:rPr>
          <w:lang w:eastAsia="zh-CN"/>
        </w:rPr>
        <w:t>Ratio</w:t>
      </w:r>
      <w:r w:rsidR="003B7021">
        <w:rPr>
          <w:lang w:eastAsia="zh-CN"/>
        </w:rPr>
        <w:t xml:space="preserve"> and Finalize WACC </w:t>
      </w:r>
    </w:p>
    <w:p w14:paraId="22DB7D4F" w14:textId="18018092" w:rsidR="00B83D6D" w:rsidRDefault="00CC3D0F">
      <w:pPr>
        <w:pStyle w:val="rptmainbodytext"/>
        <w:rPr>
          <w:lang w:eastAsia="zh-CN"/>
        </w:rPr>
      </w:pPr>
      <w:r>
        <w:rPr>
          <w:lang w:eastAsia="zh-CN"/>
        </w:rPr>
        <w:t xml:space="preserve">Given the </w:t>
      </w:r>
      <w:r w:rsidR="009E4FF1">
        <w:rPr>
          <w:lang w:eastAsia="zh-CN"/>
        </w:rPr>
        <w:t xml:space="preserve">increased </w:t>
      </w:r>
      <w:r>
        <w:rPr>
          <w:lang w:eastAsia="zh-CN"/>
        </w:rPr>
        <w:t>likelihood of low prices</w:t>
      </w:r>
      <w:r w:rsidR="00BA7162">
        <w:rPr>
          <w:lang w:eastAsia="zh-CN"/>
        </w:rPr>
        <w:t xml:space="preserve"> in the No MOPR case</w:t>
      </w:r>
      <w:r>
        <w:rPr>
          <w:lang w:eastAsia="zh-CN"/>
        </w:rPr>
        <w:t xml:space="preserve">, the COD in the No MOPR case </w:t>
      </w:r>
      <w:r w:rsidR="00BA7162">
        <w:rPr>
          <w:lang w:eastAsia="zh-CN"/>
        </w:rPr>
        <w:t>tends</w:t>
      </w:r>
      <w:r>
        <w:rPr>
          <w:lang w:eastAsia="zh-CN"/>
        </w:rPr>
        <w:t xml:space="preserve"> to increase relative to </w:t>
      </w:r>
      <w:r w:rsidR="00BA7162">
        <w:rPr>
          <w:lang w:eastAsia="zh-CN"/>
        </w:rPr>
        <w:t xml:space="preserve">the </w:t>
      </w:r>
      <w:r>
        <w:rPr>
          <w:lang w:eastAsia="zh-CN"/>
        </w:rPr>
        <w:t>status quo.  However, project developers</w:t>
      </w:r>
      <w:r w:rsidR="00953365">
        <w:rPr>
          <w:lang w:eastAsia="zh-CN"/>
        </w:rPr>
        <w:t xml:space="preserve"> </w:t>
      </w:r>
      <w:r w:rsidR="00313470">
        <w:rPr>
          <w:lang w:eastAsia="zh-CN"/>
        </w:rPr>
        <w:t xml:space="preserve">can </w:t>
      </w:r>
      <w:r w:rsidR="00D447F7">
        <w:rPr>
          <w:lang w:eastAsia="zh-CN"/>
        </w:rPr>
        <w:t>improve their debt rating and</w:t>
      </w:r>
      <w:r>
        <w:rPr>
          <w:lang w:eastAsia="zh-CN"/>
        </w:rPr>
        <w:t xml:space="preserve"> </w:t>
      </w:r>
      <w:r w:rsidR="00EF7E46">
        <w:rPr>
          <w:lang w:eastAsia="zh-CN"/>
        </w:rPr>
        <w:t>lower their COD</w:t>
      </w:r>
      <w:r>
        <w:rPr>
          <w:lang w:eastAsia="zh-CN"/>
        </w:rPr>
        <w:t xml:space="preserve"> by </w:t>
      </w:r>
      <w:r w:rsidR="00013985">
        <w:rPr>
          <w:lang w:eastAsia="zh-CN"/>
        </w:rPr>
        <w:t>reducing</w:t>
      </w:r>
      <w:r>
        <w:rPr>
          <w:lang w:eastAsia="zh-CN"/>
        </w:rPr>
        <w:t xml:space="preserve"> </w:t>
      </w:r>
      <w:r w:rsidR="003F7110">
        <w:rPr>
          <w:lang w:eastAsia="zh-CN"/>
        </w:rPr>
        <w:t>leverage</w:t>
      </w:r>
      <w:r w:rsidR="00F5710F">
        <w:rPr>
          <w:lang w:eastAsia="zh-CN"/>
        </w:rPr>
        <w:t xml:space="preserve">.  </w:t>
      </w:r>
      <w:r w:rsidR="00B83D6D">
        <w:rPr>
          <w:lang w:eastAsia="zh-CN"/>
        </w:rPr>
        <w:t xml:space="preserve">This </w:t>
      </w:r>
      <w:r w:rsidR="00DF51DC">
        <w:rPr>
          <w:lang w:eastAsia="zh-CN"/>
        </w:rPr>
        <w:t>tend</w:t>
      </w:r>
      <w:r w:rsidR="00013985">
        <w:rPr>
          <w:lang w:eastAsia="zh-CN"/>
        </w:rPr>
        <w:t>s</w:t>
      </w:r>
      <w:r w:rsidR="00DF51DC">
        <w:rPr>
          <w:lang w:eastAsia="zh-CN"/>
        </w:rPr>
        <w:t xml:space="preserve"> to </w:t>
      </w:r>
      <w:r w:rsidR="00013985">
        <w:rPr>
          <w:lang w:eastAsia="zh-CN"/>
        </w:rPr>
        <w:t xml:space="preserve">reduce </w:t>
      </w:r>
      <w:r w:rsidR="007F6A7D">
        <w:rPr>
          <w:lang w:eastAsia="zh-CN"/>
        </w:rPr>
        <w:t>the overall WACC for the project.</w:t>
      </w:r>
      <w:r w:rsidR="00FA296A">
        <w:rPr>
          <w:lang w:eastAsia="zh-CN"/>
        </w:rPr>
        <w:t xml:space="preserve"> </w:t>
      </w:r>
      <w:r w:rsidR="00AF75F9">
        <w:rPr>
          <w:lang w:eastAsia="zh-CN"/>
        </w:rPr>
        <w:t xml:space="preserve"> </w:t>
      </w:r>
    </w:p>
    <w:p w14:paraId="1F970262" w14:textId="4843DBBA" w:rsidR="001534E6" w:rsidRDefault="007F6A7D" w:rsidP="0067623B">
      <w:pPr>
        <w:pStyle w:val="rptmainbodytext"/>
        <w:rPr>
          <w:lang w:eastAsia="zh-CN"/>
        </w:rPr>
      </w:pPr>
      <w:r>
        <w:rPr>
          <w:lang w:eastAsia="zh-CN"/>
        </w:rPr>
        <w:t xml:space="preserve">While </w:t>
      </w:r>
      <w:r w:rsidR="00291C6D">
        <w:rPr>
          <w:lang w:eastAsia="zh-CN"/>
        </w:rPr>
        <w:t xml:space="preserve">a lower debt ratio </w:t>
      </w:r>
      <w:r w:rsidR="005D1723">
        <w:rPr>
          <w:lang w:eastAsia="zh-CN"/>
        </w:rPr>
        <w:t>tends to</w:t>
      </w:r>
      <w:r w:rsidR="00291C6D">
        <w:rPr>
          <w:lang w:eastAsia="zh-CN"/>
        </w:rPr>
        <w:t xml:space="preserve"> </w:t>
      </w:r>
      <w:r w:rsidR="00EF7E46">
        <w:rPr>
          <w:lang w:eastAsia="zh-CN"/>
        </w:rPr>
        <w:t xml:space="preserve">lower the COD, </w:t>
      </w:r>
      <w:r>
        <w:rPr>
          <w:lang w:eastAsia="zh-CN"/>
        </w:rPr>
        <w:t xml:space="preserve">it </w:t>
      </w:r>
      <w:r w:rsidR="00291C6D">
        <w:rPr>
          <w:lang w:eastAsia="zh-CN"/>
        </w:rPr>
        <w:t>also affect</w:t>
      </w:r>
      <w:r w:rsidR="005D1723">
        <w:rPr>
          <w:lang w:eastAsia="zh-CN"/>
        </w:rPr>
        <w:t>s</w:t>
      </w:r>
      <w:r w:rsidR="00291C6D">
        <w:rPr>
          <w:lang w:eastAsia="zh-CN"/>
        </w:rPr>
        <w:t xml:space="preserve"> other components of the WACC</w:t>
      </w:r>
      <w:r w:rsidR="005D1723">
        <w:rPr>
          <w:lang w:eastAsia="zh-CN"/>
        </w:rPr>
        <w:t>.</w:t>
      </w:r>
      <w:r w:rsidR="00291C6D">
        <w:rPr>
          <w:lang w:eastAsia="zh-CN"/>
        </w:rPr>
        <w:t xml:space="preserve">  </w:t>
      </w:r>
      <w:r w:rsidR="00DA0B4D">
        <w:rPr>
          <w:lang w:eastAsia="zh-CN"/>
        </w:rPr>
        <w:t>So, the optimal value is</w:t>
      </w:r>
      <w:r w:rsidR="0072761B">
        <w:rPr>
          <w:lang w:eastAsia="zh-CN"/>
        </w:rPr>
        <w:t xml:space="preserve"> </w:t>
      </w:r>
      <w:r w:rsidR="00DA0B4D">
        <w:rPr>
          <w:lang w:eastAsia="zh-CN"/>
        </w:rPr>
        <w:t>chosen considering</w:t>
      </w:r>
      <w:r w:rsidR="00E73072">
        <w:rPr>
          <w:lang w:eastAsia="zh-CN"/>
        </w:rPr>
        <w:t xml:space="preserve"> several trade-offs.  </w:t>
      </w:r>
      <w:r w:rsidR="00812FE9">
        <w:rPr>
          <w:lang w:eastAsia="zh-CN"/>
        </w:rPr>
        <w:t>Specifically, a</w:t>
      </w:r>
      <w:r w:rsidR="001534E6">
        <w:rPr>
          <w:lang w:eastAsia="zh-CN"/>
        </w:rPr>
        <w:t xml:space="preserve"> lower debt ratio affect</w:t>
      </w:r>
      <w:r w:rsidR="00812FE9">
        <w:rPr>
          <w:lang w:eastAsia="zh-CN"/>
        </w:rPr>
        <w:t>s</w:t>
      </w:r>
      <w:r w:rsidR="001534E6">
        <w:rPr>
          <w:lang w:eastAsia="zh-CN"/>
        </w:rPr>
        <w:t xml:space="preserve"> the overall WACC </w:t>
      </w:r>
      <w:r w:rsidR="0040739E">
        <w:rPr>
          <w:lang w:eastAsia="zh-CN"/>
        </w:rPr>
        <w:t xml:space="preserve">in the following </w:t>
      </w:r>
      <w:r w:rsidR="00812FE9">
        <w:rPr>
          <w:lang w:eastAsia="zh-CN"/>
        </w:rPr>
        <w:t>ways</w:t>
      </w:r>
      <w:r w:rsidR="0040739E">
        <w:rPr>
          <w:lang w:eastAsia="zh-CN"/>
        </w:rPr>
        <w:t>:</w:t>
      </w:r>
    </w:p>
    <w:p w14:paraId="2EE14043" w14:textId="1CA1FD1A" w:rsidR="0040739E" w:rsidRPr="0040739E" w:rsidRDefault="0040739E" w:rsidP="00484E2F">
      <w:pPr>
        <w:pStyle w:val="rptmainbodybullets1"/>
        <w:rPr>
          <w:lang w:eastAsia="zh-CN"/>
        </w:rPr>
      </w:pPr>
      <w:r>
        <w:rPr>
          <w:lang w:eastAsia="zh-CN"/>
        </w:rPr>
        <w:t>It r</w:t>
      </w:r>
      <w:r w:rsidRPr="0040739E">
        <w:rPr>
          <w:lang w:eastAsia="zh-CN"/>
        </w:rPr>
        <w:t>educe</w:t>
      </w:r>
      <w:r w:rsidR="006A1325">
        <w:rPr>
          <w:lang w:eastAsia="zh-CN"/>
        </w:rPr>
        <w:t>s</w:t>
      </w:r>
      <w:r w:rsidRPr="0040739E">
        <w:rPr>
          <w:lang w:eastAsia="zh-CN"/>
        </w:rPr>
        <w:t xml:space="preserve"> the required debt service payments, improving its DSCR and debt rating</w:t>
      </w:r>
      <w:r w:rsidR="001616B3">
        <w:rPr>
          <w:lang w:eastAsia="zh-CN"/>
        </w:rPr>
        <w:t xml:space="preserve">.  This tends to </w:t>
      </w:r>
      <w:r w:rsidR="00856C9C">
        <w:rPr>
          <w:lang w:eastAsia="zh-CN"/>
        </w:rPr>
        <w:t>reduce</w:t>
      </w:r>
      <w:r w:rsidR="00856C9C" w:rsidRPr="0040739E">
        <w:rPr>
          <w:lang w:eastAsia="zh-CN"/>
        </w:rPr>
        <w:t xml:space="preserve"> </w:t>
      </w:r>
      <w:r w:rsidRPr="0040739E">
        <w:rPr>
          <w:lang w:eastAsia="zh-CN"/>
        </w:rPr>
        <w:t>the</w:t>
      </w:r>
      <w:r w:rsidR="001616B3">
        <w:rPr>
          <w:lang w:eastAsia="zh-CN"/>
        </w:rPr>
        <w:t xml:space="preserve"> </w:t>
      </w:r>
      <w:r w:rsidRPr="0040739E">
        <w:rPr>
          <w:lang w:eastAsia="zh-CN"/>
        </w:rPr>
        <w:t>WACC</w:t>
      </w:r>
      <w:r w:rsidR="001616B3">
        <w:rPr>
          <w:lang w:eastAsia="zh-CN"/>
        </w:rPr>
        <w:t>.</w:t>
      </w:r>
      <w:r w:rsidR="00E41C74">
        <w:rPr>
          <w:rStyle w:val="FootnoteReference"/>
          <w:lang w:eastAsia="zh-CN"/>
        </w:rPr>
        <w:footnoteReference w:id="19"/>
      </w:r>
    </w:p>
    <w:p w14:paraId="126B187E" w14:textId="3DA04252" w:rsidR="0040739E" w:rsidRPr="0040739E" w:rsidRDefault="001616B3" w:rsidP="00484E2F">
      <w:pPr>
        <w:pStyle w:val="rptmainbodybullets1"/>
        <w:rPr>
          <w:lang w:eastAsia="zh-CN"/>
        </w:rPr>
      </w:pPr>
      <w:r>
        <w:rPr>
          <w:lang w:eastAsia="zh-CN"/>
        </w:rPr>
        <w:t>It</w:t>
      </w:r>
      <w:r w:rsidR="00B7582D">
        <w:rPr>
          <w:lang w:eastAsia="zh-CN"/>
        </w:rPr>
        <w:t xml:space="preserve"> </w:t>
      </w:r>
      <w:r>
        <w:rPr>
          <w:lang w:eastAsia="zh-CN"/>
        </w:rPr>
        <w:t>i</w:t>
      </w:r>
      <w:r w:rsidR="0040739E" w:rsidRPr="0040739E">
        <w:rPr>
          <w:lang w:eastAsia="zh-CN"/>
        </w:rPr>
        <w:t>ncrease</w:t>
      </w:r>
      <w:r w:rsidR="00ED0A73">
        <w:rPr>
          <w:lang w:eastAsia="zh-CN"/>
        </w:rPr>
        <w:t>s</w:t>
      </w:r>
      <w:r w:rsidR="0040739E" w:rsidRPr="0040739E">
        <w:rPr>
          <w:lang w:eastAsia="zh-CN"/>
        </w:rPr>
        <w:t xml:space="preserve"> the </w:t>
      </w:r>
      <w:r w:rsidR="00AD5F6E">
        <w:rPr>
          <w:lang w:eastAsia="zh-CN"/>
        </w:rPr>
        <w:t xml:space="preserve">equity </w:t>
      </w:r>
      <w:r>
        <w:rPr>
          <w:lang w:eastAsia="zh-CN"/>
        </w:rPr>
        <w:t xml:space="preserve">share of </w:t>
      </w:r>
      <w:r w:rsidR="00AD5F6E">
        <w:rPr>
          <w:lang w:eastAsia="zh-CN"/>
        </w:rPr>
        <w:t>capital, and since COE is higher than COD, this tend</w:t>
      </w:r>
      <w:r w:rsidR="00302CC7">
        <w:rPr>
          <w:lang w:eastAsia="zh-CN"/>
        </w:rPr>
        <w:t>s</w:t>
      </w:r>
      <w:r w:rsidR="00AD5F6E">
        <w:rPr>
          <w:lang w:eastAsia="zh-CN"/>
        </w:rPr>
        <w:t xml:space="preserve"> to </w:t>
      </w:r>
      <w:r w:rsidR="0040739E" w:rsidRPr="0040739E">
        <w:rPr>
          <w:lang w:eastAsia="zh-CN"/>
        </w:rPr>
        <w:t>increas</w:t>
      </w:r>
      <w:r w:rsidR="00AD5F6E">
        <w:rPr>
          <w:lang w:eastAsia="zh-CN"/>
        </w:rPr>
        <w:t>e</w:t>
      </w:r>
      <w:r w:rsidR="0040739E" w:rsidRPr="0040739E">
        <w:rPr>
          <w:lang w:eastAsia="zh-CN"/>
        </w:rPr>
        <w:t xml:space="preserve"> the WACC.</w:t>
      </w:r>
    </w:p>
    <w:p w14:paraId="31975E8F" w14:textId="61F8EF31" w:rsidR="0040739E" w:rsidRPr="0040739E" w:rsidRDefault="00CC12E4" w:rsidP="00484E2F">
      <w:pPr>
        <w:pStyle w:val="rptmainbodybullets1"/>
        <w:rPr>
          <w:lang w:eastAsia="zh-CN"/>
        </w:rPr>
      </w:pPr>
      <w:r>
        <w:rPr>
          <w:lang w:eastAsia="zh-CN"/>
        </w:rPr>
        <w:t>It r</w:t>
      </w:r>
      <w:r w:rsidR="0040739E" w:rsidRPr="0040739E">
        <w:rPr>
          <w:lang w:eastAsia="zh-CN"/>
        </w:rPr>
        <w:t>educe</w:t>
      </w:r>
      <w:r w:rsidR="00856C9C">
        <w:rPr>
          <w:lang w:eastAsia="zh-CN"/>
        </w:rPr>
        <w:t>s</w:t>
      </w:r>
      <w:r w:rsidR="0040739E" w:rsidRPr="0040739E">
        <w:rPr>
          <w:lang w:eastAsia="zh-CN"/>
        </w:rPr>
        <w:t xml:space="preserve"> the COE because the volatility of the returns </w:t>
      </w:r>
      <w:r w:rsidR="00E170BC">
        <w:rPr>
          <w:lang w:eastAsia="zh-CN"/>
        </w:rPr>
        <w:t xml:space="preserve">to equity holders </w:t>
      </w:r>
      <w:r w:rsidR="0040739E" w:rsidRPr="0040739E">
        <w:rPr>
          <w:lang w:eastAsia="zh-CN"/>
        </w:rPr>
        <w:t>is lower at lower leverage levels.</w:t>
      </w:r>
      <w:r w:rsidR="00BE03E8">
        <w:rPr>
          <w:rStyle w:val="FootnoteReference"/>
          <w:lang w:eastAsia="zh-CN"/>
        </w:rPr>
        <w:footnoteReference w:id="20"/>
      </w:r>
      <w:r>
        <w:rPr>
          <w:lang w:eastAsia="zh-CN"/>
        </w:rPr>
        <w:t xml:space="preserve">  This tends to </w:t>
      </w:r>
      <w:r w:rsidR="00C2327E">
        <w:rPr>
          <w:lang w:eastAsia="zh-CN"/>
        </w:rPr>
        <w:t>reduce</w:t>
      </w:r>
      <w:r w:rsidR="00C2327E" w:rsidRPr="0040739E">
        <w:rPr>
          <w:lang w:eastAsia="zh-CN"/>
        </w:rPr>
        <w:t xml:space="preserve"> </w:t>
      </w:r>
      <w:r w:rsidRPr="0040739E">
        <w:rPr>
          <w:lang w:eastAsia="zh-CN"/>
        </w:rPr>
        <w:t>the</w:t>
      </w:r>
      <w:r w:rsidR="009D40F0">
        <w:rPr>
          <w:lang w:eastAsia="zh-CN"/>
        </w:rPr>
        <w:t xml:space="preserve"> </w:t>
      </w:r>
      <w:r w:rsidRPr="0040739E">
        <w:rPr>
          <w:lang w:eastAsia="zh-CN"/>
        </w:rPr>
        <w:t>WACC</w:t>
      </w:r>
      <w:r>
        <w:rPr>
          <w:lang w:eastAsia="zh-CN"/>
        </w:rPr>
        <w:t>.</w:t>
      </w:r>
    </w:p>
    <w:p w14:paraId="78BE9D44" w14:textId="672C9E13" w:rsidR="0040739E" w:rsidRDefault="00121B2E" w:rsidP="00484E2F">
      <w:pPr>
        <w:pStyle w:val="rptmainbodybullets1"/>
        <w:rPr>
          <w:lang w:eastAsia="zh-CN"/>
        </w:rPr>
      </w:pPr>
      <w:r>
        <w:rPr>
          <w:lang w:eastAsia="zh-CN"/>
        </w:rPr>
        <w:t>It i</w:t>
      </w:r>
      <w:r w:rsidR="0040739E" w:rsidRPr="0040739E">
        <w:rPr>
          <w:lang w:eastAsia="zh-CN"/>
        </w:rPr>
        <w:t>ncrease</w:t>
      </w:r>
      <w:r w:rsidR="004E27EC">
        <w:rPr>
          <w:lang w:eastAsia="zh-CN"/>
        </w:rPr>
        <w:t>s</w:t>
      </w:r>
      <w:r w:rsidR="0040739E" w:rsidRPr="0040739E">
        <w:rPr>
          <w:lang w:eastAsia="zh-CN"/>
        </w:rPr>
        <w:t xml:space="preserve"> the COE because some </w:t>
      </w:r>
      <w:r>
        <w:rPr>
          <w:lang w:eastAsia="zh-CN"/>
        </w:rPr>
        <w:t xml:space="preserve">of the </w:t>
      </w:r>
      <w:r w:rsidR="0040739E" w:rsidRPr="0040739E">
        <w:rPr>
          <w:lang w:eastAsia="zh-CN"/>
        </w:rPr>
        <w:t>default risk shifts to equity holders at lower leverage levels.</w:t>
      </w:r>
      <w:r w:rsidR="00E170BC" w:rsidRPr="00E170BC">
        <w:rPr>
          <w:rStyle w:val="FootnoteReference"/>
          <w:lang w:eastAsia="zh-CN"/>
        </w:rPr>
        <w:t xml:space="preserve"> </w:t>
      </w:r>
      <w:r w:rsidR="00E170BC">
        <w:rPr>
          <w:rStyle w:val="FootnoteReference"/>
          <w:lang w:eastAsia="zh-CN"/>
        </w:rPr>
        <w:footnoteReference w:id="21"/>
      </w:r>
      <w:r>
        <w:rPr>
          <w:lang w:eastAsia="zh-CN"/>
        </w:rPr>
        <w:t xml:space="preserve">  This tends to</w:t>
      </w:r>
      <w:r w:rsidRPr="0040739E">
        <w:rPr>
          <w:lang w:eastAsia="zh-CN"/>
        </w:rPr>
        <w:t xml:space="preserve"> increas</w:t>
      </w:r>
      <w:r>
        <w:rPr>
          <w:lang w:eastAsia="zh-CN"/>
        </w:rPr>
        <w:t>e</w:t>
      </w:r>
      <w:r w:rsidRPr="0040739E">
        <w:rPr>
          <w:lang w:eastAsia="zh-CN"/>
        </w:rPr>
        <w:t xml:space="preserve"> the</w:t>
      </w:r>
      <w:r w:rsidR="009D40F0">
        <w:rPr>
          <w:lang w:eastAsia="zh-CN"/>
        </w:rPr>
        <w:t xml:space="preserve"> </w:t>
      </w:r>
      <w:r w:rsidRPr="0040739E">
        <w:rPr>
          <w:lang w:eastAsia="zh-CN"/>
        </w:rPr>
        <w:t>WACC</w:t>
      </w:r>
      <w:r>
        <w:rPr>
          <w:lang w:eastAsia="zh-CN"/>
        </w:rPr>
        <w:t>.</w:t>
      </w:r>
    </w:p>
    <w:p w14:paraId="474A98DC" w14:textId="70270F18" w:rsidR="008B779D" w:rsidRDefault="00773E78" w:rsidP="0067623B">
      <w:pPr>
        <w:pStyle w:val="rptmainbodytext"/>
        <w:rPr>
          <w:lang w:eastAsia="zh-CN"/>
        </w:rPr>
      </w:pPr>
      <w:r>
        <w:rPr>
          <w:lang w:eastAsia="zh-CN"/>
        </w:rPr>
        <w:lastRenderedPageBreak/>
        <w:t>W</w:t>
      </w:r>
      <w:r w:rsidR="00AF0EA5">
        <w:rPr>
          <w:lang w:eastAsia="zh-CN"/>
        </w:rPr>
        <w:t xml:space="preserve">e </w:t>
      </w:r>
      <w:r w:rsidR="00084287">
        <w:rPr>
          <w:lang w:eastAsia="zh-CN"/>
        </w:rPr>
        <w:t xml:space="preserve">consider a range of </w:t>
      </w:r>
      <w:r w:rsidR="008E6F66">
        <w:rPr>
          <w:lang w:eastAsia="zh-CN"/>
        </w:rPr>
        <w:t>alternative</w:t>
      </w:r>
      <w:r w:rsidR="00675970">
        <w:rPr>
          <w:lang w:eastAsia="zh-CN"/>
        </w:rPr>
        <w:t xml:space="preserve"> debt ratio</w:t>
      </w:r>
      <w:r w:rsidR="00084287">
        <w:rPr>
          <w:lang w:eastAsia="zh-CN"/>
        </w:rPr>
        <w:t xml:space="preserve">s </w:t>
      </w:r>
      <w:r w:rsidR="008E6F66">
        <w:rPr>
          <w:lang w:eastAsia="zh-CN"/>
        </w:rPr>
        <w:t>for the No MOPR case</w:t>
      </w:r>
      <w:r w:rsidR="008D36CE">
        <w:rPr>
          <w:lang w:eastAsia="zh-CN"/>
        </w:rPr>
        <w:t>,</w:t>
      </w:r>
      <w:r w:rsidR="008E6F66">
        <w:rPr>
          <w:lang w:eastAsia="zh-CN"/>
        </w:rPr>
        <w:t xml:space="preserve"> </w:t>
      </w:r>
      <w:r w:rsidR="00761C09">
        <w:rPr>
          <w:lang w:eastAsia="zh-CN"/>
        </w:rPr>
        <w:t>repeat</w:t>
      </w:r>
      <w:r w:rsidR="00F71058">
        <w:rPr>
          <w:lang w:eastAsia="zh-CN"/>
        </w:rPr>
        <w:t>ing</w:t>
      </w:r>
      <w:r w:rsidR="00761C09">
        <w:rPr>
          <w:lang w:eastAsia="zh-CN"/>
        </w:rPr>
        <w:t xml:space="preserve"> steps </w:t>
      </w:r>
      <w:r w:rsidR="004C7E15">
        <w:rPr>
          <w:lang w:eastAsia="zh-CN"/>
        </w:rPr>
        <w:t xml:space="preserve">1 through 7 </w:t>
      </w:r>
      <w:r w:rsidR="00084287">
        <w:rPr>
          <w:lang w:eastAsia="zh-CN"/>
        </w:rPr>
        <w:t>to</w:t>
      </w:r>
      <w:r w:rsidR="0013458B">
        <w:rPr>
          <w:lang w:eastAsia="zh-CN"/>
        </w:rPr>
        <w:t xml:space="preserve"> </w:t>
      </w:r>
      <w:r w:rsidR="005A3555">
        <w:rPr>
          <w:lang w:eastAsia="zh-CN"/>
        </w:rPr>
        <w:t xml:space="preserve">determine the </w:t>
      </w:r>
      <w:r w:rsidR="004E047D">
        <w:rPr>
          <w:lang w:eastAsia="zh-CN"/>
        </w:rPr>
        <w:t>AT</w:t>
      </w:r>
      <w:r w:rsidR="005A3555">
        <w:rPr>
          <w:lang w:eastAsia="zh-CN"/>
        </w:rPr>
        <w:t xml:space="preserve">WACC for each debt ratio.  </w:t>
      </w:r>
      <w:r w:rsidR="004A0812">
        <w:rPr>
          <w:lang w:eastAsia="zh-CN"/>
        </w:rPr>
        <w:t>This allows us to</w:t>
      </w:r>
      <w:r w:rsidR="005A3555">
        <w:rPr>
          <w:lang w:eastAsia="zh-CN"/>
        </w:rPr>
        <w:t xml:space="preserve"> </w:t>
      </w:r>
      <w:r w:rsidR="00AF0EA5">
        <w:rPr>
          <w:lang w:eastAsia="zh-CN"/>
        </w:rPr>
        <w:t xml:space="preserve">evaluate </w:t>
      </w:r>
      <w:r w:rsidR="00A931D2">
        <w:rPr>
          <w:lang w:eastAsia="zh-CN"/>
        </w:rPr>
        <w:t xml:space="preserve">whether the total WACC </w:t>
      </w:r>
      <w:r w:rsidR="004A0812">
        <w:rPr>
          <w:lang w:eastAsia="zh-CN"/>
        </w:rPr>
        <w:t xml:space="preserve">in the No MOPR case </w:t>
      </w:r>
      <w:r w:rsidR="00A931D2">
        <w:rPr>
          <w:lang w:eastAsia="zh-CN"/>
        </w:rPr>
        <w:t xml:space="preserve">could be </w:t>
      </w:r>
      <w:r w:rsidR="00F71058">
        <w:rPr>
          <w:lang w:eastAsia="zh-CN"/>
        </w:rPr>
        <w:t xml:space="preserve">reduced </w:t>
      </w:r>
      <w:r w:rsidR="004A0812">
        <w:rPr>
          <w:lang w:eastAsia="zh-CN"/>
        </w:rPr>
        <w:t xml:space="preserve">by </w:t>
      </w:r>
      <w:r w:rsidR="004E047D">
        <w:rPr>
          <w:lang w:eastAsia="zh-CN"/>
        </w:rPr>
        <w:t>lowering the amount of project debt</w:t>
      </w:r>
      <w:r w:rsidR="00A931D2">
        <w:rPr>
          <w:lang w:eastAsia="zh-CN"/>
        </w:rPr>
        <w:t xml:space="preserve">. </w:t>
      </w:r>
      <w:r w:rsidR="00084287">
        <w:rPr>
          <w:lang w:eastAsia="zh-CN"/>
        </w:rPr>
        <w:t xml:space="preserve"> </w:t>
      </w:r>
      <w:r w:rsidR="001E510A">
        <w:rPr>
          <w:lang w:eastAsia="zh-CN"/>
        </w:rPr>
        <w:t xml:space="preserve">We estimate </w:t>
      </w:r>
      <w:r w:rsidR="008D4EC6">
        <w:rPr>
          <w:lang w:eastAsia="zh-CN"/>
        </w:rPr>
        <w:t xml:space="preserve">the final WACC parameters in the No MOPR case as the set of values </w:t>
      </w:r>
      <w:r w:rsidR="00EB36FD">
        <w:rPr>
          <w:lang w:eastAsia="zh-CN"/>
        </w:rPr>
        <w:t xml:space="preserve">(for COE, COD and debt ratio) that minimize the total </w:t>
      </w:r>
      <w:r w:rsidR="004E047D">
        <w:rPr>
          <w:lang w:eastAsia="zh-CN"/>
        </w:rPr>
        <w:t>AT</w:t>
      </w:r>
      <w:r w:rsidR="00EB36FD">
        <w:rPr>
          <w:lang w:eastAsia="zh-CN"/>
        </w:rPr>
        <w:t>WACC.</w:t>
      </w:r>
    </w:p>
    <w:p w14:paraId="64ACB65E" w14:textId="0A3386C0" w:rsidR="00950078" w:rsidRDefault="00326EF1" w:rsidP="00F163D9">
      <w:pPr>
        <w:pStyle w:val="rptmainbodyheading2"/>
        <w:rPr>
          <w:lang w:eastAsia="zh-CN"/>
        </w:rPr>
      </w:pPr>
      <w:bookmarkStart w:id="929" w:name="_Toc86419524"/>
      <w:r w:rsidRPr="00D212EA">
        <w:t>Conclusion</w:t>
      </w:r>
      <w:bookmarkEnd w:id="929"/>
    </w:p>
    <w:p w14:paraId="7B95A536" w14:textId="27B26B6B" w:rsidR="00EC4BD0" w:rsidRDefault="00EC4BD0" w:rsidP="00326EF1">
      <w:pPr>
        <w:pStyle w:val="rptmainbodytext"/>
      </w:pPr>
      <w:r>
        <w:t xml:space="preserve">The </w:t>
      </w:r>
      <w:r w:rsidR="008D2D9C">
        <w:t xml:space="preserve">WACC parameters developed as part of the </w:t>
      </w:r>
      <w:r w:rsidR="00852828">
        <w:t xml:space="preserve">recent </w:t>
      </w:r>
      <w:r w:rsidR="00372120">
        <w:t>CONE</w:t>
      </w:r>
      <w:r w:rsidR="00852828">
        <w:t xml:space="preserve"> study</w:t>
      </w:r>
      <w:r w:rsidR="004B5785">
        <w:t>, which</w:t>
      </w:r>
      <w:r w:rsidR="00852828">
        <w:t xml:space="preserve"> </w:t>
      </w:r>
      <w:r w:rsidR="004B5785">
        <w:t xml:space="preserve">relies on </w:t>
      </w:r>
      <w:r w:rsidR="00927E38">
        <w:t xml:space="preserve">a review of </w:t>
      </w:r>
      <w:r w:rsidR="00F764A1">
        <w:t xml:space="preserve">historical </w:t>
      </w:r>
      <w:r w:rsidR="002966D0">
        <w:t xml:space="preserve">financial market </w:t>
      </w:r>
      <w:r w:rsidR="00883AF0">
        <w:t>data</w:t>
      </w:r>
      <w:r w:rsidR="004B5785">
        <w:t xml:space="preserve">, </w:t>
      </w:r>
      <w:r w:rsidR="00852828">
        <w:t xml:space="preserve">provide a proxy for </w:t>
      </w:r>
      <w:r w:rsidR="008D2D9C">
        <w:t xml:space="preserve">the returns </w:t>
      </w:r>
      <w:r w:rsidR="00641C19">
        <w:t>required by investors in merchant assets in ISO-NE markets with a MOPR.</w:t>
      </w:r>
      <w:r w:rsidR="005B2E76">
        <w:t xml:space="preserve">  However, there are no available historic comparables for a competitive power market that motivates merchant new entry without a MOPR amid high levels of policy-driven investment.  Hence, a different approach is needed </w:t>
      </w:r>
      <w:r w:rsidR="00183475">
        <w:t xml:space="preserve">to account for the effects of eliminating the MOPR provisions </w:t>
      </w:r>
      <w:r w:rsidR="00BC1A06">
        <w:t>o</w:t>
      </w:r>
      <w:r w:rsidR="00183475">
        <w:t xml:space="preserve">n </w:t>
      </w:r>
      <w:r w:rsidR="00183475" w:rsidRPr="00F6317F">
        <w:t xml:space="preserve">the WACC. </w:t>
      </w:r>
      <w:r w:rsidR="005B2E76">
        <w:t xml:space="preserve"> </w:t>
      </w:r>
    </w:p>
    <w:p w14:paraId="62B508FF" w14:textId="77777777" w:rsidR="00DF491A" w:rsidRDefault="003244BB" w:rsidP="00DF491A">
      <w:pPr>
        <w:pStyle w:val="rptmainbodytext"/>
      </w:pPr>
      <w:r>
        <w:t>Accordingly, w</w:t>
      </w:r>
      <w:r w:rsidR="00FE6BA3">
        <w:t>e</w:t>
      </w:r>
      <w:r w:rsidR="00991527">
        <w:t xml:space="preserve"> </w:t>
      </w:r>
      <w:r>
        <w:t>developed</w:t>
      </w:r>
      <w:r w:rsidR="00372120">
        <w:t xml:space="preserve"> </w:t>
      </w:r>
      <w:r>
        <w:t>a</w:t>
      </w:r>
      <w:r w:rsidR="00372120">
        <w:t xml:space="preserve"> model for estimating how future price volatility would be affected by a change in market rules (i.e., elimination of MOPR).  </w:t>
      </w:r>
      <w:r w:rsidR="00DF491A">
        <w:t>Our model estimates how a change in price volatility resulting from MOPR elimination would change:</w:t>
      </w:r>
    </w:p>
    <w:p w14:paraId="56271672" w14:textId="52EB2AED" w:rsidR="00DF491A" w:rsidRDefault="00DF491A" w:rsidP="006129C2">
      <w:pPr>
        <w:pStyle w:val="rptmainbodybullets1"/>
      </w:pPr>
      <w:r>
        <w:t>The cost of equity using the Capital Asset Pricing Model (“CAPM”); and</w:t>
      </w:r>
    </w:p>
    <w:p w14:paraId="21398FC0" w14:textId="22DAB717" w:rsidR="00991527" w:rsidRDefault="00DF491A" w:rsidP="006129C2">
      <w:pPr>
        <w:pStyle w:val="rptmainbodybullets1"/>
      </w:pPr>
      <w:r>
        <w:t>An investor’s cost of debt based on criteria employed by credit rating agencies.</w:t>
      </w:r>
    </w:p>
    <w:p w14:paraId="579D17EE" w14:textId="71D7F361" w:rsidR="00372120" w:rsidRDefault="004671DE" w:rsidP="00372120">
      <w:pPr>
        <w:pStyle w:val="rptmainbodytext"/>
      </w:pPr>
      <w:r>
        <w:t xml:space="preserve">We described the overall approach and each of the steps in </w:t>
      </w:r>
      <w:r w:rsidR="005B4AA8">
        <w:t xml:space="preserve">our model in this section.  </w:t>
      </w:r>
      <w:r w:rsidR="00B76624">
        <w:t>Nonetheless, the</w:t>
      </w:r>
      <w:r w:rsidR="00E369AB">
        <w:t xml:space="preserve"> approach we </w:t>
      </w:r>
      <w:r w:rsidR="00B76624">
        <w:t>developed</w:t>
      </w:r>
      <w:r w:rsidR="00E369AB">
        <w:t xml:space="preserve"> </w:t>
      </w:r>
      <w:r w:rsidR="00DF491A">
        <w:t xml:space="preserve">for our </w:t>
      </w:r>
      <w:r w:rsidR="00C710F2">
        <w:t>study</w:t>
      </w:r>
      <w:r w:rsidR="00DF491A">
        <w:t xml:space="preserve"> </w:t>
      </w:r>
      <w:r w:rsidR="00CF7755">
        <w:t>may</w:t>
      </w:r>
      <w:r w:rsidR="00E369AB">
        <w:t xml:space="preserve"> not be required</w:t>
      </w:r>
      <w:r w:rsidR="00DF491A">
        <w:t xml:space="preserve"> in future </w:t>
      </w:r>
      <w:r w:rsidR="005B4AA8">
        <w:t>CONE studies</w:t>
      </w:r>
      <w:r w:rsidR="00E369AB">
        <w:t xml:space="preserve">.  </w:t>
      </w:r>
      <w:r w:rsidR="00B76624">
        <w:t xml:space="preserve">This is because future studies </w:t>
      </w:r>
      <w:r w:rsidR="00E95E79">
        <w:t>may be able to</w:t>
      </w:r>
      <w:r w:rsidR="00CF7755">
        <w:t xml:space="preserve"> utilize </w:t>
      </w:r>
      <w:r w:rsidR="002436DD">
        <w:t xml:space="preserve">the methods used by previous studies </w:t>
      </w:r>
      <w:r w:rsidR="00CF7755">
        <w:t xml:space="preserve">if sufficient </w:t>
      </w:r>
      <w:r w:rsidR="00F11B51">
        <w:t>historical</w:t>
      </w:r>
      <w:r w:rsidR="00CF7755">
        <w:t xml:space="preserve"> </w:t>
      </w:r>
      <w:r w:rsidR="006867B8">
        <w:t>market</w:t>
      </w:r>
      <w:r w:rsidR="00CF7755">
        <w:t xml:space="preserve"> data is available</w:t>
      </w:r>
      <w:r w:rsidR="006867B8">
        <w:t xml:space="preserve"> after the MOPR is eliminated</w:t>
      </w:r>
      <w:r w:rsidR="00CF7755">
        <w:t>.</w:t>
      </w:r>
      <w:r w:rsidR="00CF7755" w:rsidDel="00CF7755">
        <w:t xml:space="preserve"> </w:t>
      </w:r>
    </w:p>
    <w:p w14:paraId="4C7F884C" w14:textId="77777777" w:rsidR="00950078" w:rsidRDefault="00950078" w:rsidP="00302119">
      <w:pPr>
        <w:pStyle w:val="rptmainbodytext"/>
        <w:rPr>
          <w:lang w:eastAsia="zh-CN"/>
        </w:rPr>
      </w:pPr>
    </w:p>
    <w:p w14:paraId="48642A54" w14:textId="03D09819" w:rsidR="008B779D" w:rsidRDefault="008B779D" w:rsidP="008B779D">
      <w:pPr>
        <w:pStyle w:val="rptmainbodytext"/>
        <w:rPr>
          <w:lang w:eastAsia="zh-CN"/>
        </w:rPr>
        <w:sectPr w:rsidR="008B779D" w:rsidSect="00936145">
          <w:headerReference w:type="even" r:id="rId36"/>
          <w:headerReference w:type="default" r:id="rId37"/>
          <w:type w:val="oddPage"/>
          <w:pgSz w:w="12240" w:h="15840" w:code="1"/>
          <w:pgMar w:top="1440" w:right="1440" w:bottom="1440" w:left="1440" w:header="720" w:footer="720" w:gutter="0"/>
          <w:cols w:space="720"/>
          <w:docGrid w:linePitch="360"/>
        </w:sectPr>
      </w:pPr>
    </w:p>
    <w:p w14:paraId="1BC50D1F" w14:textId="1DBAB2AB" w:rsidR="00556A36" w:rsidRDefault="00327339" w:rsidP="00BE30BC">
      <w:pPr>
        <w:pStyle w:val="rptmainbodyheading1"/>
      </w:pPr>
      <w:bookmarkStart w:id="930" w:name="_Ref84237667"/>
      <w:bookmarkStart w:id="931" w:name="_Toc86419525"/>
      <w:r>
        <w:lastRenderedPageBreak/>
        <w:t>Model Inputs</w:t>
      </w:r>
      <w:bookmarkEnd w:id="930"/>
      <w:bookmarkEnd w:id="931"/>
    </w:p>
    <w:p w14:paraId="7255E684" w14:textId="2C57B683" w:rsidR="00556A36" w:rsidRPr="003C75C4" w:rsidRDefault="007E07A8" w:rsidP="00556A36">
      <w:pPr>
        <w:pStyle w:val="rptmainbodytext"/>
      </w:pPr>
      <w:r>
        <w:t xml:space="preserve">Our model considers a range of </w:t>
      </w:r>
      <w:r w:rsidR="00B10CCB">
        <w:t xml:space="preserve">inputs </w:t>
      </w:r>
      <w:r>
        <w:t xml:space="preserve">that affect the </w:t>
      </w:r>
      <w:r w:rsidR="00605F40">
        <w:t>volatility</w:t>
      </w:r>
      <w:r w:rsidR="00975F49">
        <w:t xml:space="preserve"> of </w:t>
      </w:r>
      <w:r>
        <w:t xml:space="preserve">revenues to the reference unit.  </w:t>
      </w:r>
      <w:r w:rsidR="00F01628">
        <w:t xml:space="preserve">In this section, we discuss the principles for determining the model inputs (subsection A), and </w:t>
      </w:r>
      <w:r w:rsidR="0053392A">
        <w:t>the key inputs</w:t>
      </w:r>
      <w:r w:rsidR="0055420D">
        <w:t>/ assumptions</w:t>
      </w:r>
      <w:r w:rsidR="0053392A">
        <w:t xml:space="preserve"> </w:t>
      </w:r>
      <w:r w:rsidR="00CE27CE">
        <w:t>underlying</w:t>
      </w:r>
      <w:r w:rsidR="0055420D">
        <w:t xml:space="preserve"> our </w:t>
      </w:r>
      <w:r w:rsidR="00CE27CE">
        <w:t>model</w:t>
      </w:r>
      <w:r w:rsidR="0055420D">
        <w:t xml:space="preserve"> (subsection B).</w:t>
      </w:r>
    </w:p>
    <w:p w14:paraId="647947D8" w14:textId="1919634D" w:rsidR="00556A36" w:rsidRDefault="00A37A6D" w:rsidP="00BC35F9">
      <w:pPr>
        <w:pStyle w:val="rptmainbodyheading2"/>
        <w:numPr>
          <w:ilvl w:val="0"/>
          <w:numId w:val="16"/>
        </w:numPr>
      </w:pPr>
      <w:bookmarkStart w:id="932" w:name="_Toc86419526"/>
      <w:bookmarkStart w:id="933" w:name="_Ref86658078"/>
      <w:r w:rsidRPr="00A37A6D">
        <w:t xml:space="preserve">Principles for </w:t>
      </w:r>
      <w:r>
        <w:t>D</w:t>
      </w:r>
      <w:r w:rsidRPr="00A37A6D">
        <w:t xml:space="preserve">etermining </w:t>
      </w:r>
      <w:r>
        <w:t>Model In</w:t>
      </w:r>
      <w:r w:rsidRPr="00A37A6D">
        <w:t>puts</w:t>
      </w:r>
      <w:bookmarkEnd w:id="932"/>
      <w:bookmarkEnd w:id="933"/>
    </w:p>
    <w:p w14:paraId="140D3859" w14:textId="2FD3CB08" w:rsidR="00491135" w:rsidRDefault="00CA485F" w:rsidP="002B524B">
      <w:pPr>
        <w:pStyle w:val="rptmainbodytext"/>
      </w:pPr>
      <w:r>
        <w:t>The</w:t>
      </w:r>
      <w:r w:rsidR="001D78E2">
        <w:t xml:space="preserve"> </w:t>
      </w:r>
      <w:r w:rsidR="000253EE">
        <w:t>model</w:t>
      </w:r>
      <w:r w:rsidR="001D78E2">
        <w:t xml:space="preserve"> is designed to estimate </w:t>
      </w:r>
      <w:r w:rsidR="000253EE">
        <w:t>how a</w:t>
      </w:r>
      <w:r w:rsidR="004F6201">
        <w:t xml:space="preserve"> change in market rules would lead</w:t>
      </w:r>
      <w:r w:rsidR="001D78E2">
        <w:t xml:space="preserve"> </w:t>
      </w:r>
      <w:r w:rsidR="00A7669C">
        <w:t>to</w:t>
      </w:r>
      <w:r w:rsidR="001D78E2">
        <w:t xml:space="preserve"> a chang</w:t>
      </w:r>
      <w:r w:rsidR="00217209">
        <w:t>e in</w:t>
      </w:r>
      <w:r w:rsidR="00620E87">
        <w:t xml:space="preserve"> </w:t>
      </w:r>
      <w:r w:rsidR="00AC574E">
        <w:t xml:space="preserve">the financial risk </w:t>
      </w:r>
      <w:r w:rsidR="00950077">
        <w:t>for</w:t>
      </w:r>
      <w:r w:rsidR="00A7669C">
        <w:t xml:space="preserve"> investors </w:t>
      </w:r>
      <w:r w:rsidR="00AC574E">
        <w:t xml:space="preserve">relative to </w:t>
      </w:r>
      <w:r w:rsidR="009510B8">
        <w:t>the</w:t>
      </w:r>
      <w:r w:rsidR="00AC574E">
        <w:t xml:space="preserve"> status quo</w:t>
      </w:r>
      <w:r w:rsidR="00313DAF">
        <w:t xml:space="preserve">.  </w:t>
      </w:r>
      <w:r w:rsidR="00ED44C1">
        <w:t>Consequently</w:t>
      </w:r>
      <w:r w:rsidR="001E2F19">
        <w:t xml:space="preserve">, </w:t>
      </w:r>
      <w:r w:rsidR="00EB65D4">
        <w:t xml:space="preserve">the only difference between the MOPR case and No MOPR </w:t>
      </w:r>
      <w:r w:rsidR="00B74816">
        <w:t xml:space="preserve">case </w:t>
      </w:r>
      <w:r w:rsidR="00EB65D4">
        <w:t xml:space="preserve">is </w:t>
      </w:r>
      <w:r w:rsidR="00B74816">
        <w:t>that the former use</w:t>
      </w:r>
      <w:r w:rsidR="00BF37E8">
        <w:t>s</w:t>
      </w:r>
      <w:r w:rsidR="00B74816">
        <w:t xml:space="preserve"> the current offer floor</w:t>
      </w:r>
      <w:r w:rsidR="00BF37E8">
        <w:t xml:space="preserve"> </w:t>
      </w:r>
      <w:r w:rsidR="00042522">
        <w:t xml:space="preserve">mitigation </w:t>
      </w:r>
      <w:r w:rsidR="00B74816">
        <w:t xml:space="preserve">rules for </w:t>
      </w:r>
      <w:r w:rsidR="00BF37E8">
        <w:t>subsidized resources</w:t>
      </w:r>
      <w:r w:rsidR="00B74816">
        <w:t xml:space="preserve"> </w:t>
      </w:r>
      <w:r w:rsidR="001B78A4">
        <w:t>while the latter does not.</w:t>
      </w:r>
      <w:r w:rsidR="00EB65D4">
        <w:t xml:space="preserve"> </w:t>
      </w:r>
      <w:r w:rsidR="00313DAF">
        <w:t xml:space="preserve"> </w:t>
      </w:r>
      <w:r w:rsidR="00722CEF">
        <w:t xml:space="preserve">Hence, the </w:t>
      </w:r>
      <w:r w:rsidR="00B957EF">
        <w:t>differences</w:t>
      </w:r>
      <w:r w:rsidR="00722CEF">
        <w:t xml:space="preserve"> in </w:t>
      </w:r>
      <w:r w:rsidR="001E44D2">
        <w:t xml:space="preserve">financial risk </w:t>
      </w:r>
      <w:r w:rsidR="00B957EF">
        <w:t>between</w:t>
      </w:r>
      <w:r w:rsidR="001E44D2">
        <w:t xml:space="preserve"> the </w:t>
      </w:r>
      <w:r w:rsidR="00B957EF">
        <w:t>two cases</w:t>
      </w:r>
      <w:r w:rsidR="001E44D2">
        <w:t xml:space="preserve"> </w:t>
      </w:r>
      <w:r w:rsidR="00176C35">
        <w:t>in the model</w:t>
      </w:r>
      <w:r w:rsidR="00B957EF">
        <w:t xml:space="preserve"> </w:t>
      </w:r>
      <w:r w:rsidR="00F83522">
        <w:t>ar</w:t>
      </w:r>
      <w:r w:rsidR="001E44D2">
        <w:t xml:space="preserve">e </w:t>
      </w:r>
      <w:r w:rsidR="0021594B">
        <w:t xml:space="preserve">directly </w:t>
      </w:r>
      <w:r w:rsidR="001E44D2">
        <w:t>attribut</w:t>
      </w:r>
      <w:r w:rsidR="00F83522">
        <w:t xml:space="preserve">able to MOPR </w:t>
      </w:r>
      <w:r w:rsidR="00B957EF">
        <w:t>elimination</w:t>
      </w:r>
      <w:r w:rsidR="00F83522">
        <w:t xml:space="preserve"> rather </w:t>
      </w:r>
      <w:r w:rsidR="0021594B">
        <w:t xml:space="preserve">than other </w:t>
      </w:r>
      <w:r w:rsidR="00B957EF">
        <w:t>factors</w:t>
      </w:r>
      <w:r w:rsidR="00176C35">
        <w:t>.</w:t>
      </w:r>
    </w:p>
    <w:p w14:paraId="0501687B" w14:textId="6B20C812" w:rsidR="009510B8" w:rsidRDefault="0035288D" w:rsidP="002B524B">
      <w:pPr>
        <w:pStyle w:val="rptmainbodytext"/>
      </w:pPr>
      <w:r>
        <w:t>The</w:t>
      </w:r>
      <w:r w:rsidR="001B78A4">
        <w:t xml:space="preserve"> </w:t>
      </w:r>
      <w:r w:rsidR="00BF37E8">
        <w:t>input assumptions</w:t>
      </w:r>
      <w:r w:rsidR="00333CA5">
        <w:t xml:space="preserve"> for </w:t>
      </w:r>
      <w:r w:rsidR="001E1A70">
        <w:t xml:space="preserve">the model </w:t>
      </w:r>
      <w:r>
        <w:t xml:space="preserve">were developed </w:t>
      </w:r>
      <w:r w:rsidR="001E1A70">
        <w:t>c</w:t>
      </w:r>
      <w:r w:rsidR="002F2589">
        <w:t>onside</w:t>
      </w:r>
      <w:r w:rsidR="00095B50">
        <w:t>ring the following:</w:t>
      </w:r>
    </w:p>
    <w:p w14:paraId="34DCA5CD" w14:textId="68BD60AC" w:rsidR="00B34BF8" w:rsidRDefault="005F4AE9" w:rsidP="00D212EA">
      <w:pPr>
        <w:pStyle w:val="rptmainbodybullets1"/>
        <w:spacing w:before="120"/>
      </w:pPr>
      <w:r>
        <w:t>First, t</w:t>
      </w:r>
      <w:r w:rsidR="00147034">
        <w:t>he m</w:t>
      </w:r>
      <w:r w:rsidR="00B34BF8">
        <w:t xml:space="preserve">odel </w:t>
      </w:r>
      <w:r w:rsidR="00313AF6">
        <w:t>evaluates the capacity market under long-term</w:t>
      </w:r>
      <w:r w:rsidR="00B34BF8">
        <w:t xml:space="preserve"> equilibrium </w:t>
      </w:r>
      <w:r w:rsidR="00EA6C1D">
        <w:t xml:space="preserve">conditions </w:t>
      </w:r>
      <w:r w:rsidR="00B34BF8">
        <w:t xml:space="preserve">where </w:t>
      </w:r>
      <w:r w:rsidR="00BD511B">
        <w:t xml:space="preserve">wholesale market revenues are </w:t>
      </w:r>
      <w:r w:rsidR="00BD511B" w:rsidRPr="00D212EA">
        <w:rPr>
          <w:i/>
          <w:iCs/>
        </w:rPr>
        <w:t>expected</w:t>
      </w:r>
      <w:r w:rsidR="00BD511B">
        <w:t xml:space="preserve"> to </w:t>
      </w:r>
      <w:r w:rsidR="00864BF1">
        <w:t xml:space="preserve">be </w:t>
      </w:r>
      <w:r w:rsidR="00474683">
        <w:t>just</w:t>
      </w:r>
      <w:r w:rsidR="00864BF1">
        <w:t xml:space="preserve"> sufficient to</w:t>
      </w:r>
      <w:r w:rsidR="00474683">
        <w:t xml:space="preserve"> recoup the cost of new entry </w:t>
      </w:r>
      <w:r w:rsidR="00D46B7A">
        <w:t>to maintain the system at the 1 day in 10</w:t>
      </w:r>
      <w:r w:rsidR="00835DE7">
        <w:t xml:space="preserve"> </w:t>
      </w:r>
      <w:r w:rsidR="00D46B7A">
        <w:t>year</w:t>
      </w:r>
      <w:r w:rsidR="00835DE7">
        <w:t>s</w:t>
      </w:r>
      <w:r w:rsidR="00D46B7A">
        <w:t xml:space="preserve"> reliability standard.</w:t>
      </w:r>
      <w:r w:rsidR="00047E23">
        <w:t xml:space="preserve">  However, this does not guarantee revenue</w:t>
      </w:r>
      <w:r w:rsidR="00321C07">
        <w:t xml:space="preserve">s, since unforeseen factors </w:t>
      </w:r>
      <w:r w:rsidR="0032073B">
        <w:t xml:space="preserve">cause revenues to be higher or lower than expected, </w:t>
      </w:r>
      <w:r w:rsidR="00D06B78">
        <w:t>making new supply investment risky.</w:t>
      </w:r>
    </w:p>
    <w:p w14:paraId="7D6FC3CB" w14:textId="59B76F05" w:rsidR="008E6F52" w:rsidRDefault="005F4AE9" w:rsidP="00D212EA">
      <w:pPr>
        <w:pStyle w:val="rptmainbodybullets1"/>
        <w:spacing w:before="120"/>
      </w:pPr>
      <w:r>
        <w:t>Second, t</w:t>
      </w:r>
      <w:r w:rsidR="000B7184">
        <w:t xml:space="preserve">he </w:t>
      </w:r>
      <w:r w:rsidR="00F32DDA">
        <w:t>factors</w:t>
      </w:r>
      <w:r w:rsidR="000B7184">
        <w:t xml:space="preserve"> driving financial risk</w:t>
      </w:r>
      <w:r w:rsidR="00062F77">
        <w:t xml:space="preserve"> in the model</w:t>
      </w:r>
      <w:r w:rsidR="001E2F19">
        <w:t xml:space="preserve"> should rea</w:t>
      </w:r>
      <w:r w:rsidR="002F4121">
        <w:t xml:space="preserve">sonably </w:t>
      </w:r>
      <w:r w:rsidR="00062F77">
        <w:t xml:space="preserve">characterize </w:t>
      </w:r>
      <w:r w:rsidR="003842C7">
        <w:t>circumstances</w:t>
      </w:r>
      <w:r w:rsidR="00062F77">
        <w:t xml:space="preserve"> that</w:t>
      </w:r>
      <w:r w:rsidR="00C51C3F">
        <w:t xml:space="preserve"> will contribute to</w:t>
      </w:r>
      <w:r w:rsidR="00062F77">
        <w:t xml:space="preserve"> </w:t>
      </w:r>
      <w:r w:rsidR="006533C9">
        <w:t xml:space="preserve">revenue volatility </w:t>
      </w:r>
      <w:r w:rsidR="008635FF">
        <w:t xml:space="preserve">during the </w:t>
      </w:r>
      <w:r w:rsidR="00686B76">
        <w:t xml:space="preserve">(~20-year) </w:t>
      </w:r>
      <w:r w:rsidR="008635FF">
        <w:t xml:space="preserve">investment horizon of resources </w:t>
      </w:r>
      <w:r w:rsidR="0065690F">
        <w:t xml:space="preserve">deciding whether to </w:t>
      </w:r>
      <w:r w:rsidR="00E910FD">
        <w:t>sell capacity in the next few FCAs</w:t>
      </w:r>
      <w:r w:rsidR="0098343C">
        <w:t>.</w:t>
      </w:r>
      <w:r w:rsidR="00EC3A04">
        <w:t xml:space="preserve">  </w:t>
      </w:r>
      <w:r w:rsidR="005F507E">
        <w:t xml:space="preserve">We anticipate high levels of policy-driven investment </w:t>
      </w:r>
      <w:r w:rsidR="00E169BA">
        <w:t>to decarbonize the grid</w:t>
      </w:r>
      <w:r w:rsidR="005F507E">
        <w:t xml:space="preserve"> </w:t>
      </w:r>
      <w:r w:rsidR="00F1500D">
        <w:t>affecting</w:t>
      </w:r>
      <w:r w:rsidR="005F507E">
        <w:t xml:space="preserve"> both supply-side and demand-side</w:t>
      </w:r>
      <w:r w:rsidR="00F1500D">
        <w:t xml:space="preserve"> </w:t>
      </w:r>
      <w:r w:rsidR="00F257C5">
        <w:t>participation</w:t>
      </w:r>
      <w:r w:rsidR="009D7C98">
        <w:t>.</w:t>
      </w:r>
    </w:p>
    <w:p w14:paraId="26FE7A8F" w14:textId="717B0352" w:rsidR="0098343C" w:rsidRDefault="005F4AE9" w:rsidP="00D212EA">
      <w:pPr>
        <w:pStyle w:val="rptmainbodybullets1"/>
        <w:spacing w:before="120"/>
      </w:pPr>
      <w:r>
        <w:t xml:space="preserve">Third, </w:t>
      </w:r>
      <w:r w:rsidR="00EA50D6">
        <w:t>it is important to avoid u</w:t>
      </w:r>
      <w:r w:rsidR="00366D70">
        <w:t>nnecessary complexity</w:t>
      </w:r>
      <w:r w:rsidR="001104E0">
        <w:t xml:space="preserve"> in </w:t>
      </w:r>
      <w:r w:rsidR="00182725">
        <w:t>any modeling exercise</w:t>
      </w:r>
      <w:r w:rsidR="00EA50D6">
        <w:t>.</w:t>
      </w:r>
    </w:p>
    <w:p w14:paraId="1B0E69E8" w14:textId="4C074445" w:rsidR="004D14C2" w:rsidRDefault="003C7AC4" w:rsidP="003C7AC4">
      <w:pPr>
        <w:pStyle w:val="rptmainbodytext"/>
      </w:pPr>
      <w:r>
        <w:t xml:space="preserve">Given these considerations, </w:t>
      </w:r>
      <w:r w:rsidR="00130EE5">
        <w:t>we</w:t>
      </w:r>
      <w:r w:rsidR="00727054">
        <w:t xml:space="preserve"> model</w:t>
      </w:r>
      <w:r w:rsidR="00602887">
        <w:t xml:space="preserve"> </w:t>
      </w:r>
      <w:r w:rsidR="00C17F1B">
        <w:t xml:space="preserve">the New England power system </w:t>
      </w:r>
      <w:r w:rsidR="00640E69">
        <w:t xml:space="preserve">based on anticipated conditions </w:t>
      </w:r>
      <w:r w:rsidR="00BD37FC">
        <w:t>around</w:t>
      </w:r>
      <w:r w:rsidR="00C17F1B">
        <w:t xml:space="preserve"> </w:t>
      </w:r>
      <w:r w:rsidR="00164A63">
        <w:t xml:space="preserve">2030.  </w:t>
      </w:r>
      <w:r w:rsidR="00E713D0">
        <w:t>This</w:t>
      </w:r>
      <w:r w:rsidR="0027034B">
        <w:t xml:space="preserve"> timeframe</w:t>
      </w:r>
      <w:r w:rsidR="00E713D0">
        <w:t xml:space="preserve"> has </w:t>
      </w:r>
      <w:r w:rsidR="00FF4FD6">
        <w:t xml:space="preserve">the advantage of being more clearly defined in </w:t>
      </w:r>
      <w:r w:rsidR="000D369C">
        <w:t xml:space="preserve">New England State </w:t>
      </w:r>
      <w:r w:rsidR="00FF4FD6">
        <w:t xml:space="preserve">policy goals, </w:t>
      </w:r>
      <w:r w:rsidR="00627E5D">
        <w:t xml:space="preserve">allowing us to draw </w:t>
      </w:r>
      <w:r w:rsidR="000648C9">
        <w:t xml:space="preserve">assumptions </w:t>
      </w:r>
      <w:r w:rsidR="004E7324">
        <w:t>about</w:t>
      </w:r>
      <w:r w:rsidR="00FF4FD6">
        <w:t xml:space="preserve"> </w:t>
      </w:r>
      <w:r w:rsidR="00CB5494">
        <w:t xml:space="preserve">potential </w:t>
      </w:r>
      <w:r w:rsidR="00FF4FD6">
        <w:t xml:space="preserve">policy </w:t>
      </w:r>
      <w:r w:rsidR="009B2A5F">
        <w:t>pathways</w:t>
      </w:r>
      <w:r w:rsidR="004E7324">
        <w:t xml:space="preserve"> from State-sponsored</w:t>
      </w:r>
      <w:r w:rsidR="000648C9">
        <w:t xml:space="preserve"> publi</w:t>
      </w:r>
      <w:r w:rsidR="004E7324">
        <w:t>cations</w:t>
      </w:r>
      <w:r w:rsidR="00FF4FD6">
        <w:t xml:space="preserve">.  </w:t>
      </w:r>
      <w:r w:rsidR="006A6E2B">
        <w:t xml:space="preserve">Conditions in 2030 are close enough to influence the near-term </w:t>
      </w:r>
      <w:r w:rsidR="006946F2">
        <w:t>outlook</w:t>
      </w:r>
      <w:r w:rsidR="006A6E2B">
        <w:t xml:space="preserve"> of prospective investors</w:t>
      </w:r>
      <w:r w:rsidR="006946F2">
        <w:t xml:space="preserve">, but </w:t>
      </w:r>
      <w:r w:rsidR="00B869D9">
        <w:t>it</w:t>
      </w:r>
      <w:r w:rsidR="006946F2">
        <w:t xml:space="preserve"> also serves as a proxy for </w:t>
      </w:r>
      <w:r w:rsidR="008E738C">
        <w:t xml:space="preserve">market conditions that are likely to </w:t>
      </w:r>
      <w:r w:rsidR="00750659">
        <w:t>drive</w:t>
      </w:r>
      <w:r w:rsidR="008E738C">
        <w:t xml:space="preserve"> revenue volatility over the </w:t>
      </w:r>
      <w:r w:rsidR="002342C9">
        <w:t>subsequent</w:t>
      </w:r>
      <w:r w:rsidR="001739C3">
        <w:t xml:space="preserve"> decade</w:t>
      </w:r>
      <w:r w:rsidR="00277AF1">
        <w:t>,</w:t>
      </w:r>
      <w:r w:rsidR="001739C3">
        <w:t xml:space="preserve"> which </w:t>
      </w:r>
      <w:r w:rsidR="005104E8">
        <w:t>constitutes the medium and long</w:t>
      </w:r>
      <w:r w:rsidR="009545CB">
        <w:t>-</w:t>
      </w:r>
      <w:r w:rsidR="005104E8">
        <w:t>term view of investor</w:t>
      </w:r>
      <w:r w:rsidR="004C7DC4">
        <w:t>s</w:t>
      </w:r>
      <w:r w:rsidR="001739C3">
        <w:t>.</w:t>
      </w:r>
    </w:p>
    <w:p w14:paraId="0E705E8C" w14:textId="42E45A9E" w:rsidR="0012081A" w:rsidRDefault="00AC5AC7" w:rsidP="002B524B">
      <w:pPr>
        <w:pStyle w:val="rptmainbodytext"/>
      </w:pPr>
      <w:r>
        <w:t xml:space="preserve">To avoid unnecessary complexity, we model </w:t>
      </w:r>
      <w:r w:rsidR="003166C9">
        <w:t>all of the new entry and retirement decisions leading up to 2030 in a single</w:t>
      </w:r>
      <w:r>
        <w:t xml:space="preserve"> </w:t>
      </w:r>
      <w:r w:rsidR="00804EA7">
        <w:t xml:space="preserve">time step (rather than modeling </w:t>
      </w:r>
      <w:r w:rsidR="00157C33">
        <w:t xml:space="preserve">decisions in </w:t>
      </w:r>
      <w:r w:rsidR="00804EA7">
        <w:t xml:space="preserve">each </w:t>
      </w:r>
      <w:r w:rsidR="00157C33">
        <w:t xml:space="preserve">year leading up to 2030).  </w:t>
      </w:r>
      <w:r w:rsidR="003504FF">
        <w:t>The</w:t>
      </w:r>
      <w:r w:rsidR="00440886">
        <w:t xml:space="preserve"> model </w:t>
      </w:r>
      <w:r w:rsidR="004A287F">
        <w:t>estimates</w:t>
      </w:r>
      <w:r w:rsidR="00440886">
        <w:t xml:space="preserve"> </w:t>
      </w:r>
      <w:r w:rsidR="00901B2D">
        <w:t>expected</w:t>
      </w:r>
      <w:r w:rsidR="00440886">
        <w:t xml:space="preserve"> </w:t>
      </w:r>
      <w:r w:rsidR="00CB12B7">
        <w:t>revenue</w:t>
      </w:r>
      <w:r w:rsidR="0070109B">
        <w:t xml:space="preserve"> volatility </w:t>
      </w:r>
      <w:r w:rsidR="00094608">
        <w:t>for</w:t>
      </w:r>
      <w:r w:rsidR="0070109B">
        <w:t xml:space="preserve"> a three-year rather than one-year </w:t>
      </w:r>
      <w:r w:rsidR="0070109B">
        <w:lastRenderedPageBreak/>
        <w:t>period.</w:t>
      </w:r>
      <w:r w:rsidR="003F138B">
        <w:rPr>
          <w:rStyle w:val="FootnoteReference"/>
          <w:lang w:eastAsia="zh-CN"/>
        </w:rPr>
        <w:footnoteReference w:id="22"/>
      </w:r>
      <w:r w:rsidR="00223777">
        <w:t xml:space="preserve">  This is reasonable because </w:t>
      </w:r>
      <w:r w:rsidR="00054B2B">
        <w:t xml:space="preserve">investors </w:t>
      </w:r>
      <w:r w:rsidR="00865AA9">
        <w:t>rarely make significant retirement or new entry decisions</w:t>
      </w:r>
      <w:r w:rsidR="00223777">
        <w:t xml:space="preserve"> </w:t>
      </w:r>
      <w:r w:rsidR="00A527C8">
        <w:t>based</w:t>
      </w:r>
      <w:r w:rsidR="00865AA9">
        <w:t xml:space="preserve"> </w:t>
      </w:r>
      <w:r w:rsidR="00223777">
        <w:t xml:space="preserve">on </w:t>
      </w:r>
      <w:r w:rsidR="00A527C8">
        <w:t>a</w:t>
      </w:r>
      <w:r w:rsidR="006B15D2">
        <w:t xml:space="preserve"> single</w:t>
      </w:r>
      <w:r w:rsidR="00223777">
        <w:t xml:space="preserve"> year of very low </w:t>
      </w:r>
      <w:r w:rsidR="00994F64">
        <w:t xml:space="preserve">or high </w:t>
      </w:r>
      <w:r w:rsidR="00223777">
        <w:t xml:space="preserve">revenues.  </w:t>
      </w:r>
      <w:r w:rsidR="00E65E38">
        <w:t>Furthermore, three years aligns with the duration of a potential downside ca</w:t>
      </w:r>
      <w:r w:rsidR="00BF3921">
        <w:t xml:space="preserve">se that a lender would consider when evaluating a </w:t>
      </w:r>
      <w:r w:rsidR="00A22C1C">
        <w:t>potential investment.</w:t>
      </w:r>
    </w:p>
    <w:p w14:paraId="10B3F502" w14:textId="41121FAB" w:rsidR="00326099" w:rsidRDefault="00FB29E0" w:rsidP="002B524B">
      <w:pPr>
        <w:pStyle w:val="rptmainbodytext"/>
      </w:pPr>
      <w:r>
        <w:t xml:space="preserve">Since the model </w:t>
      </w:r>
      <w:r w:rsidR="008506C4">
        <w:t xml:space="preserve">estimates how a change in market rules would increase or decrease </w:t>
      </w:r>
      <w:r w:rsidR="004800CF">
        <w:t>financial risk</w:t>
      </w:r>
      <w:r w:rsidR="009B32A4">
        <w:t xml:space="preserve">, </w:t>
      </w:r>
      <w:r w:rsidR="00671581">
        <w:t xml:space="preserve">assumptions about the initial </w:t>
      </w:r>
      <w:r w:rsidR="00A55BCE">
        <w:t>cost of capital</w:t>
      </w:r>
      <w:r w:rsidR="00671581">
        <w:t xml:space="preserve"> in the MOPR case are based on </w:t>
      </w:r>
      <w:r w:rsidR="00037874">
        <w:t>t</w:t>
      </w:r>
      <w:r w:rsidR="00403E88">
        <w:t xml:space="preserve">he </w:t>
      </w:r>
      <w:r w:rsidR="00F1398B">
        <w:t>CONE study</w:t>
      </w:r>
      <w:r w:rsidR="00CA6A5B">
        <w:t>.</w:t>
      </w:r>
      <w:r w:rsidR="00F1398B">
        <w:t xml:space="preserve">  </w:t>
      </w:r>
      <w:r w:rsidR="00A55BCE">
        <w:t xml:space="preserve">We do not attempt to reevaluate </w:t>
      </w:r>
      <w:r w:rsidR="00D21CC4">
        <w:t>financial risk in the MOPR case.</w:t>
      </w:r>
    </w:p>
    <w:p w14:paraId="469C9112" w14:textId="79A69F15" w:rsidR="005C4A98" w:rsidRDefault="00231B8D" w:rsidP="00327339">
      <w:pPr>
        <w:pStyle w:val="rptmainbodytext"/>
      </w:pPr>
      <w:r>
        <w:t>The next subsection of this report discusses the specific assumptions about supply and demand used in the model</w:t>
      </w:r>
      <w:r w:rsidR="006C2939">
        <w:t xml:space="preserve"> and how they were made consistent with the principles discussed above.  </w:t>
      </w:r>
      <w:r w:rsidR="00917B0A">
        <w:t xml:space="preserve">We rely </w:t>
      </w:r>
      <w:r w:rsidR="00DD1FC9">
        <w:t xml:space="preserve">primarily on publications of </w:t>
      </w:r>
      <w:r w:rsidR="002B524B" w:rsidRPr="002B524B">
        <w:t xml:space="preserve">New England </w:t>
      </w:r>
      <w:r w:rsidR="00DD1FC9">
        <w:t>S</w:t>
      </w:r>
      <w:r w:rsidR="009E2E60" w:rsidRPr="002B524B">
        <w:t xml:space="preserve">tates </w:t>
      </w:r>
      <w:r w:rsidR="00DC29F3">
        <w:t>with</w:t>
      </w:r>
      <w:r w:rsidR="009E2E60" w:rsidRPr="002B524B">
        <w:t xml:space="preserve"> detailed information about clean energy policies </w:t>
      </w:r>
      <w:r w:rsidR="009E2E60">
        <w:t xml:space="preserve">as the region </w:t>
      </w:r>
      <w:r w:rsidR="002B524B" w:rsidRPr="002B524B">
        <w:t>transition</w:t>
      </w:r>
      <w:r w:rsidR="009E2E60">
        <w:t>s</w:t>
      </w:r>
      <w:r w:rsidR="002B524B" w:rsidRPr="002B524B">
        <w:t xml:space="preserve"> from a conventional fleet to one with high penetration of clean resources.</w:t>
      </w:r>
      <w:r w:rsidR="006765DD">
        <w:t xml:space="preserve">  </w:t>
      </w:r>
      <w:r w:rsidR="00DC29F3">
        <w:t>T</w:t>
      </w:r>
      <w:r w:rsidR="002B524B" w:rsidRPr="002B524B">
        <w:t xml:space="preserve">here is </w:t>
      </w:r>
      <w:r w:rsidR="009D2E5F">
        <w:t>some</w:t>
      </w:r>
      <w:r w:rsidR="009D2E5F" w:rsidRPr="002B524B">
        <w:t xml:space="preserve"> </w:t>
      </w:r>
      <w:r w:rsidR="002B524B" w:rsidRPr="002B524B">
        <w:t xml:space="preserve">uncertainty regarding the specific policy measures and the timing and quantities of </w:t>
      </w:r>
      <w:r w:rsidR="003D18AB">
        <w:t xml:space="preserve">future </w:t>
      </w:r>
      <w:r w:rsidR="002B524B" w:rsidRPr="002B524B">
        <w:t>new supply</w:t>
      </w:r>
      <w:r w:rsidR="00EB07CA">
        <w:t xml:space="preserve"> </w:t>
      </w:r>
      <w:r w:rsidR="002B524B" w:rsidRPr="002B524B">
        <w:t>investment</w:t>
      </w:r>
      <w:r w:rsidR="006765DD">
        <w:t>.</w:t>
      </w:r>
      <w:r w:rsidR="00F678CF">
        <w:rPr>
          <w:rStyle w:val="FootnoteReference"/>
        </w:rPr>
        <w:footnoteReference w:id="23"/>
      </w:r>
      <w:r w:rsidR="003774B0" w:rsidDel="00F678CF">
        <w:t xml:space="preserve">  </w:t>
      </w:r>
      <w:r w:rsidR="00835FFD">
        <w:t>Hence, w</w:t>
      </w:r>
      <w:r w:rsidR="00263BB3">
        <w:t xml:space="preserve">e </w:t>
      </w:r>
      <w:r w:rsidR="00A935FC">
        <w:t>model</w:t>
      </w:r>
      <w:r w:rsidR="00835FFD">
        <w:t xml:space="preserve"> </w:t>
      </w:r>
      <w:r w:rsidR="00AB4ABE">
        <w:t xml:space="preserve">individual </w:t>
      </w:r>
      <w:r w:rsidR="00263BB3">
        <w:t xml:space="preserve">scenarios </w:t>
      </w:r>
      <w:r w:rsidR="00AB4ABE">
        <w:t>with</w:t>
      </w:r>
      <w:r w:rsidR="0015492A">
        <w:t xml:space="preserve"> </w:t>
      </w:r>
      <w:r w:rsidR="009E2E60">
        <w:t xml:space="preserve">probability </w:t>
      </w:r>
      <w:r w:rsidR="0015492A">
        <w:t xml:space="preserve">weights </w:t>
      </w:r>
      <w:r w:rsidR="00D824A4">
        <w:t xml:space="preserve">that </w:t>
      </w:r>
      <w:r w:rsidR="00E85C61">
        <w:t xml:space="preserve">could affect </w:t>
      </w:r>
      <w:r w:rsidR="00674680">
        <w:t xml:space="preserve">the volatility of </w:t>
      </w:r>
      <w:r w:rsidR="00E85C61">
        <w:t>wholesale market revenues</w:t>
      </w:r>
      <w:r w:rsidR="00263BB3">
        <w:t xml:space="preserve">.  </w:t>
      </w:r>
      <w:r w:rsidR="0078182F">
        <w:t>S</w:t>
      </w:r>
      <w:r w:rsidR="00513854">
        <w:t>cenarios</w:t>
      </w:r>
      <w:r w:rsidR="00513854" w:rsidRPr="002B524B">
        <w:t xml:space="preserve"> </w:t>
      </w:r>
      <w:r w:rsidR="002B524B" w:rsidRPr="002B524B">
        <w:t>regarding state policies are derived primarily from key documents supporting legislation and/or regulations</w:t>
      </w:r>
      <w:r w:rsidR="003B22DE">
        <w:t xml:space="preserve"> (</w:t>
      </w:r>
      <w:r w:rsidR="00480721">
        <w:t>e.g.</w:t>
      </w:r>
      <w:r w:rsidR="003B22DE">
        <w:t xml:space="preserve">, the </w:t>
      </w:r>
      <w:r w:rsidR="002B524B" w:rsidRPr="002B524B">
        <w:t>2050 Decarbonization Roadmap</w:t>
      </w:r>
      <w:r w:rsidR="003B22DE">
        <w:t>)</w:t>
      </w:r>
      <w:r w:rsidR="00B97174">
        <w:t>.</w:t>
      </w:r>
      <w:r w:rsidR="00DE68E1">
        <w:t xml:space="preserve">  We also develop scenarios related </w:t>
      </w:r>
      <w:r w:rsidR="00B9164D">
        <w:t xml:space="preserve">to the competitive market responses of conventional </w:t>
      </w:r>
      <w:r w:rsidR="0056274A">
        <w:t>new and existing resources</w:t>
      </w:r>
      <w:r w:rsidR="007B1749">
        <w:t xml:space="preserve"> and merchant battery storage resources</w:t>
      </w:r>
      <w:r w:rsidR="00BD3024">
        <w:t>.</w:t>
      </w:r>
    </w:p>
    <w:p w14:paraId="3E7495BC" w14:textId="6CAAE356" w:rsidR="00A37A6D" w:rsidRDefault="00A37A6D" w:rsidP="00A37A6D">
      <w:pPr>
        <w:pStyle w:val="rptmainbodyheading2"/>
      </w:pPr>
      <w:bookmarkStart w:id="934" w:name="_Toc86419527"/>
      <w:r>
        <w:t>Model I</w:t>
      </w:r>
      <w:r w:rsidRPr="00A37A6D">
        <w:t>nput</w:t>
      </w:r>
      <w:r>
        <w:t>s</w:t>
      </w:r>
      <w:bookmarkEnd w:id="934"/>
    </w:p>
    <w:p w14:paraId="3C67B51F" w14:textId="1A0719F2" w:rsidR="00C84FA0" w:rsidRDefault="000247A6" w:rsidP="005C4A98">
      <w:pPr>
        <w:pStyle w:val="rptmainbodytext"/>
      </w:pPr>
      <w:r>
        <w:t>In this subsection, w</w:t>
      </w:r>
      <w:r w:rsidR="00910925">
        <w:t xml:space="preserve">e </w:t>
      </w:r>
      <w:r>
        <w:t xml:space="preserve">discuss </w:t>
      </w:r>
      <w:r w:rsidR="00C76913">
        <w:t>for each key</w:t>
      </w:r>
      <w:r w:rsidR="009C21DB">
        <w:t xml:space="preserve"> model</w:t>
      </w:r>
      <w:r w:rsidR="00C76913">
        <w:t xml:space="preserve"> input, the </w:t>
      </w:r>
      <w:r w:rsidR="00B31672">
        <w:t>relevance of the input</w:t>
      </w:r>
      <w:r w:rsidR="009A0A80">
        <w:t>,</w:t>
      </w:r>
      <w:r w:rsidR="00B31672">
        <w:t xml:space="preserve"> the </w:t>
      </w:r>
      <w:r w:rsidR="0023633D">
        <w:t>values we assumed</w:t>
      </w:r>
      <w:r w:rsidR="00CF575E">
        <w:t xml:space="preserve"> </w:t>
      </w:r>
      <w:r w:rsidR="009A0A80">
        <w:t xml:space="preserve">(and their sources) </w:t>
      </w:r>
      <w:r w:rsidR="00CF575E">
        <w:t xml:space="preserve">for our </w:t>
      </w:r>
      <w:r w:rsidR="0023633D">
        <w:t>analysis</w:t>
      </w:r>
      <w:r w:rsidR="00C76913">
        <w:t>.</w:t>
      </w:r>
      <w:r w:rsidR="00D22D67">
        <w:rPr>
          <w:rStyle w:val="FootnoteReference"/>
        </w:rPr>
        <w:footnoteReference w:id="24"/>
      </w:r>
      <w:r w:rsidR="00C84FA0">
        <w:t xml:space="preserve">  Th</w:t>
      </w:r>
      <w:r w:rsidR="0051645F">
        <w:t>is subsection organizes</w:t>
      </w:r>
      <w:r w:rsidR="00C84FA0">
        <w:t xml:space="preserve"> </w:t>
      </w:r>
      <w:r w:rsidR="000D0199">
        <w:t xml:space="preserve">model </w:t>
      </w:r>
      <w:r w:rsidR="00C84FA0">
        <w:t>inputs into the following categories:</w:t>
      </w:r>
    </w:p>
    <w:p w14:paraId="58140244" w14:textId="77777777" w:rsidR="00C84FA0" w:rsidRDefault="00C84FA0" w:rsidP="00D212EA">
      <w:pPr>
        <w:pStyle w:val="rptmainbodybullets1"/>
      </w:pPr>
      <w:r>
        <w:t>Capacity Demand</w:t>
      </w:r>
    </w:p>
    <w:p w14:paraId="72E04ADB" w14:textId="333934FD" w:rsidR="005C4A98" w:rsidRDefault="00C84FA0" w:rsidP="00D212EA">
      <w:pPr>
        <w:pStyle w:val="rptmainbodybullets1"/>
      </w:pPr>
      <w:r>
        <w:t>Capacity Supply</w:t>
      </w:r>
      <w:r w:rsidR="00E61AAF">
        <w:t xml:space="preserve"> </w:t>
      </w:r>
    </w:p>
    <w:p w14:paraId="18072972" w14:textId="45CE3092" w:rsidR="001837DC" w:rsidRDefault="001837DC" w:rsidP="00D212EA">
      <w:pPr>
        <w:pStyle w:val="rptmainbodybullets1"/>
      </w:pPr>
      <w:r>
        <w:t>Reference Unit Revenues</w:t>
      </w:r>
    </w:p>
    <w:p w14:paraId="60ED5DFF" w14:textId="1C7A90D4" w:rsidR="001837DC" w:rsidRDefault="00050F22" w:rsidP="00D212EA">
      <w:pPr>
        <w:pStyle w:val="rptmainbodybullets1"/>
      </w:pPr>
      <w:r>
        <w:t>Financial Parameters</w:t>
      </w:r>
    </w:p>
    <w:p w14:paraId="77DE79B6" w14:textId="57C02BDE" w:rsidR="005858A9" w:rsidRDefault="00A37A6D" w:rsidP="00D212EA">
      <w:pPr>
        <w:pStyle w:val="rptmainbodyheading3"/>
      </w:pPr>
      <w:r>
        <w:lastRenderedPageBreak/>
        <w:t>Capacity Demand</w:t>
      </w:r>
    </w:p>
    <w:p w14:paraId="3A1663FB" w14:textId="7A50C1FE" w:rsidR="00716C13" w:rsidRDefault="007361E0" w:rsidP="005858A9">
      <w:pPr>
        <w:pStyle w:val="rptmainbodytext"/>
      </w:pPr>
      <w:r>
        <w:t xml:space="preserve">The </w:t>
      </w:r>
      <w:r w:rsidR="00584FC9">
        <w:t>primary</w:t>
      </w:r>
      <w:r>
        <w:t xml:space="preserve"> </w:t>
      </w:r>
      <w:r w:rsidR="00BC45EA">
        <w:t>driver of</w:t>
      </w:r>
      <w:r>
        <w:t xml:space="preserve"> </w:t>
      </w:r>
      <w:r w:rsidR="00A15870">
        <w:t xml:space="preserve">demand for capacity is </w:t>
      </w:r>
      <w:r w:rsidR="007F5BF9">
        <w:t xml:space="preserve">the </w:t>
      </w:r>
      <w:r w:rsidR="00A15870">
        <w:t>peak load</w:t>
      </w:r>
      <w:r w:rsidR="007F5BF9">
        <w:t xml:space="preserve"> forecast, which is affected by </w:t>
      </w:r>
      <w:r w:rsidR="00D54216" w:rsidRPr="00D54216">
        <w:t>uncertainty in traditional gross load drivers</w:t>
      </w:r>
      <w:r w:rsidR="007241AC">
        <w:t xml:space="preserve"> (e.g., economic growth forecast)</w:t>
      </w:r>
      <w:r w:rsidR="00D54216" w:rsidRPr="00D54216">
        <w:t xml:space="preserve">, </w:t>
      </w:r>
      <w:r w:rsidR="000545AC">
        <w:t xml:space="preserve">and other policy-driven factors such as </w:t>
      </w:r>
      <w:r w:rsidR="00D54216" w:rsidRPr="00D54216">
        <w:t xml:space="preserve">adoption of </w:t>
      </w:r>
      <w:r w:rsidR="005913ED">
        <w:t>energy efficiency,</w:t>
      </w:r>
      <w:r w:rsidR="00D54216" w:rsidRPr="00D54216">
        <w:t xml:space="preserve"> </w:t>
      </w:r>
      <w:r w:rsidR="005913ED">
        <w:t>distributed resources</w:t>
      </w:r>
      <w:r w:rsidR="00D54216" w:rsidRPr="00D54216">
        <w:t xml:space="preserve">, and </w:t>
      </w:r>
      <w:r w:rsidR="005913ED">
        <w:t>the level of building</w:t>
      </w:r>
      <w:r w:rsidR="00D54216" w:rsidRPr="00D54216">
        <w:t xml:space="preserve"> and </w:t>
      </w:r>
      <w:r w:rsidR="005913ED">
        <w:t xml:space="preserve">transportation </w:t>
      </w:r>
      <w:r w:rsidR="00D54216" w:rsidRPr="00D54216">
        <w:t>electrification</w:t>
      </w:r>
      <w:r w:rsidR="005913ED">
        <w:t xml:space="preserve">.  </w:t>
      </w:r>
      <w:r w:rsidR="00737317">
        <w:t>Uncert</w:t>
      </w:r>
      <w:r w:rsidR="00644AE8">
        <w:t>ainty in load forecast</w:t>
      </w:r>
      <w:r w:rsidR="00961AC1">
        <w:t xml:space="preserve"> can </w:t>
      </w:r>
      <w:r w:rsidR="005761E2">
        <w:t>have a significant impact on the expected outcomes</w:t>
      </w:r>
      <w:r w:rsidR="005101A8">
        <w:t xml:space="preserve">, </w:t>
      </w:r>
      <w:r w:rsidR="00F0783F">
        <w:t>and hence</w:t>
      </w:r>
      <w:r w:rsidR="005101A8">
        <w:t xml:space="preserve">, </w:t>
      </w:r>
      <w:r w:rsidR="00851D66">
        <w:t xml:space="preserve">load forecast uncertainty is </w:t>
      </w:r>
      <w:r w:rsidR="00584FC9">
        <w:t xml:space="preserve">a </w:t>
      </w:r>
      <w:r w:rsidR="00CE506C">
        <w:t>key driv</w:t>
      </w:r>
      <w:r w:rsidR="003375EA">
        <w:t xml:space="preserve">er of </w:t>
      </w:r>
      <w:r w:rsidR="00AA7B03">
        <w:t>uncertainty in revenues to m</w:t>
      </w:r>
      <w:r w:rsidR="003D50A0">
        <w:t>erchant resources.</w:t>
      </w:r>
    </w:p>
    <w:p w14:paraId="51EE2298" w14:textId="1C07A32A" w:rsidR="005A24F4" w:rsidRPr="005A24F4" w:rsidRDefault="00CF05DA" w:rsidP="005A24F4">
      <w:pPr>
        <w:pStyle w:val="rptmainbodytext"/>
      </w:pPr>
      <w:r w:rsidRPr="00CF05DA">
        <w:t>We modeled four peak load scenarios with equal probability weights in both MOPR and No MOPR cases</w:t>
      </w:r>
      <w:r>
        <w:t xml:space="preserve">.  </w:t>
      </w:r>
      <w:r w:rsidR="005A24F4">
        <w:t>Our a</w:t>
      </w:r>
      <w:r w:rsidR="005A24F4" w:rsidRPr="005A24F4">
        <w:t xml:space="preserve">ssumed scenarios are </w:t>
      </w:r>
      <w:r w:rsidR="00DD212E">
        <w:t>based on the</w:t>
      </w:r>
      <w:r w:rsidR="005A24F4" w:rsidRPr="005A24F4">
        <w:t xml:space="preserve"> </w:t>
      </w:r>
      <w:r w:rsidR="00A707F9">
        <w:t xml:space="preserve">ISO’s </w:t>
      </w:r>
      <w:r w:rsidR="005A24F4" w:rsidRPr="005A24F4">
        <w:t>2021 CELT forecast</w:t>
      </w:r>
      <w:r w:rsidR="00A44557">
        <w:t xml:space="preserve"> for 2030</w:t>
      </w:r>
      <w:r w:rsidR="005A24F4" w:rsidRPr="005A24F4">
        <w:t xml:space="preserve">, and </w:t>
      </w:r>
      <w:r w:rsidR="00DD212E">
        <w:t xml:space="preserve">the following </w:t>
      </w:r>
      <w:r w:rsidR="005A24F4" w:rsidRPr="005A24F4">
        <w:t xml:space="preserve">three cases from </w:t>
      </w:r>
      <w:r w:rsidR="001D4514">
        <w:t>Massachusetts’</w:t>
      </w:r>
      <w:r w:rsidR="005A24F4" w:rsidRPr="005A24F4">
        <w:t xml:space="preserve"> </w:t>
      </w:r>
      <w:r w:rsidR="005A24F4" w:rsidRPr="000B7D36">
        <w:rPr>
          <w:i/>
        </w:rPr>
        <w:t>Pathways to Deep Decarbonization Study</w:t>
      </w:r>
      <w:r w:rsidR="005A24F4" w:rsidRPr="005A24F4">
        <w:t>:</w:t>
      </w:r>
    </w:p>
    <w:p w14:paraId="37B1F524" w14:textId="48472894" w:rsidR="005A24F4" w:rsidRPr="005A24F4" w:rsidRDefault="005A24F4" w:rsidP="004918B2">
      <w:pPr>
        <w:pStyle w:val="rptmainbodybullets1"/>
      </w:pPr>
      <w:r w:rsidRPr="00730B4D">
        <w:rPr>
          <w:i/>
          <w:u w:val="single"/>
        </w:rPr>
        <w:t>All Options</w:t>
      </w:r>
      <w:r w:rsidRPr="005A24F4">
        <w:t xml:space="preserve"> – </w:t>
      </w:r>
      <w:r w:rsidR="00A50FE5">
        <w:t xml:space="preserve">This scenario assumes </w:t>
      </w:r>
      <w:r w:rsidR="0014430A">
        <w:t xml:space="preserve">that decarbonization targets are met using the most economic set of </w:t>
      </w:r>
      <w:r w:rsidR="00F2168D">
        <w:t>resources using baseline cost assumptions</w:t>
      </w:r>
      <w:r w:rsidR="00335594">
        <w:t xml:space="preserve"> for </w:t>
      </w:r>
      <w:r w:rsidR="00E0354F">
        <w:t>all technological options</w:t>
      </w:r>
      <w:r w:rsidR="00F2168D">
        <w:t>.</w:t>
      </w:r>
    </w:p>
    <w:p w14:paraId="41162A57" w14:textId="0D5F1B20" w:rsidR="005A24F4" w:rsidRPr="005A24F4" w:rsidRDefault="005A24F4" w:rsidP="004918B2">
      <w:pPr>
        <w:pStyle w:val="rptmainbodybullets1"/>
      </w:pPr>
      <w:r w:rsidRPr="00730B4D">
        <w:rPr>
          <w:i/>
          <w:u w:val="single"/>
        </w:rPr>
        <w:t>Limited Efficiency</w:t>
      </w:r>
      <w:r w:rsidRPr="005A24F4">
        <w:t xml:space="preserve"> – </w:t>
      </w:r>
      <w:r w:rsidR="00730B4D">
        <w:t xml:space="preserve">This scenario assumes </w:t>
      </w:r>
      <w:r w:rsidRPr="005A24F4">
        <w:t xml:space="preserve">fewer opportunities </w:t>
      </w:r>
      <w:r w:rsidR="00730B4D">
        <w:t>for energy efficiency when compared to the</w:t>
      </w:r>
      <w:r w:rsidRPr="005A24F4">
        <w:t xml:space="preserve"> </w:t>
      </w:r>
      <w:r w:rsidRPr="00730B4D">
        <w:rPr>
          <w:i/>
        </w:rPr>
        <w:t>All Options</w:t>
      </w:r>
      <w:r w:rsidR="00730B4D">
        <w:t xml:space="preserve"> scenario.</w:t>
      </w:r>
    </w:p>
    <w:p w14:paraId="6F96A0F5" w14:textId="3AB434A1" w:rsidR="003D50A0" w:rsidRDefault="005A24F4" w:rsidP="004918B2">
      <w:pPr>
        <w:pStyle w:val="rptmainbodybullets1"/>
      </w:pPr>
      <w:r w:rsidRPr="00730B4D">
        <w:rPr>
          <w:i/>
          <w:iCs/>
          <w:u w:val="single"/>
        </w:rPr>
        <w:t>DER Breakthrough</w:t>
      </w:r>
      <w:r w:rsidRPr="005A24F4">
        <w:t xml:space="preserve"> – </w:t>
      </w:r>
      <w:r w:rsidR="00730B4D">
        <w:t>This scenario assumed greater penetration of behind-the-meter solar</w:t>
      </w:r>
      <w:r w:rsidRPr="005A24F4">
        <w:t xml:space="preserve"> PV and flexible load</w:t>
      </w:r>
      <w:r w:rsidR="00730B4D">
        <w:t>s</w:t>
      </w:r>
      <w:r w:rsidRPr="005A24F4">
        <w:t xml:space="preserve"> </w:t>
      </w:r>
      <w:r w:rsidR="00730B4D">
        <w:t xml:space="preserve">relative to the </w:t>
      </w:r>
      <w:r w:rsidRPr="00730B4D">
        <w:rPr>
          <w:i/>
          <w:iCs/>
        </w:rPr>
        <w:t>All Options</w:t>
      </w:r>
      <w:r w:rsidR="00730B4D">
        <w:t xml:space="preserve"> scenario.</w:t>
      </w:r>
    </w:p>
    <w:p w14:paraId="5ED65DAD" w14:textId="29773A38" w:rsidR="00E32629" w:rsidRDefault="00E32629" w:rsidP="005A24F4">
      <w:pPr>
        <w:pStyle w:val="rptmainbodytext"/>
      </w:pPr>
      <w:r>
        <w:t xml:space="preserve">The following figure shows the </w:t>
      </w:r>
      <w:r w:rsidR="00EB6809">
        <w:t xml:space="preserve">peak load forecast levels </w:t>
      </w:r>
      <w:r w:rsidR="004918B2">
        <w:t>in the four scenarios we modeled.</w:t>
      </w:r>
    </w:p>
    <w:p w14:paraId="7FEBCB46" w14:textId="62E9B5EA" w:rsidR="00625EA3" w:rsidRDefault="00771766" w:rsidP="00771766">
      <w:pPr>
        <w:pStyle w:val="rptmainbodyfiguretitle1"/>
      </w:pPr>
      <w:bookmarkStart w:id="935" w:name="_Toc86727537"/>
      <w:r>
        <w:t xml:space="preserve">Figure </w:t>
      </w:r>
      <w:r>
        <w:fldChar w:fldCharType="begin"/>
      </w:r>
      <w:r>
        <w:instrText>SEQ Figure \* ARABIC</w:instrText>
      </w:r>
      <w:r>
        <w:fldChar w:fldCharType="separate"/>
      </w:r>
      <w:r w:rsidR="00401666">
        <w:rPr>
          <w:noProof/>
        </w:rPr>
        <w:t>8</w:t>
      </w:r>
      <w:r>
        <w:fldChar w:fldCharType="end"/>
      </w:r>
      <w:r>
        <w:t>:</w:t>
      </w:r>
      <w:r w:rsidR="0053090F" w:rsidRPr="0053090F">
        <w:t xml:space="preserve"> Peak Load Forecast Scenarios</w:t>
      </w:r>
      <w:bookmarkEnd w:id="935"/>
    </w:p>
    <w:p w14:paraId="63FF5E9B" w14:textId="56DD3B7F" w:rsidR="008475B3" w:rsidRDefault="008475B3" w:rsidP="0010465D">
      <w:pPr>
        <w:pStyle w:val="rptmainbodyfigure"/>
      </w:pPr>
      <w:r w:rsidRPr="0053090F">
        <w:drawing>
          <wp:inline distT="0" distB="0" distL="0" distR="0" wp14:anchorId="00405327" wp14:editId="3EC2B4BE">
            <wp:extent cx="5003460" cy="2990850"/>
            <wp:effectExtent l="0" t="0" r="6985" b="0"/>
            <wp:docPr id="457" name="Picture 4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38" cstate="print">
                      <a:extLst>
                        <a:ext uri="{28A0092B-C50C-407E-A947-70E740481C1C}">
                          <a14:useLocalDpi xmlns:a14="http://schemas.microsoft.com/office/drawing/2010/main" val="0"/>
                        </a:ext>
                      </a:extLst>
                    </a:blip>
                    <a:srcRect/>
                    <a:stretch>
                      <a:fillRect/>
                    </a:stretch>
                  </pic:blipFill>
                  <pic:spPr bwMode="auto">
                    <a:xfrm>
                      <a:off x="0" y="0"/>
                      <a:ext cx="5005977" cy="2992355"/>
                    </a:xfrm>
                    <a:prstGeom prst="rect">
                      <a:avLst/>
                    </a:prstGeom>
                    <a:noFill/>
                    <a:ln>
                      <a:noFill/>
                    </a:ln>
                  </pic:spPr>
                </pic:pic>
              </a:graphicData>
            </a:graphic>
          </wp:inline>
        </w:drawing>
      </w:r>
    </w:p>
    <w:p w14:paraId="025FC13D" w14:textId="01F549A1" w:rsidR="00A37A6D" w:rsidRDefault="00A37A6D">
      <w:pPr>
        <w:pStyle w:val="rptmainbodyheading3"/>
      </w:pPr>
      <w:r>
        <w:lastRenderedPageBreak/>
        <w:t>Capacity Supply</w:t>
      </w:r>
    </w:p>
    <w:p w14:paraId="7D9939EC" w14:textId="48EF7A33" w:rsidR="0081664C" w:rsidRDefault="001056DA" w:rsidP="0081664C">
      <w:pPr>
        <w:pStyle w:val="rptmainbodytext"/>
      </w:pPr>
      <w:r>
        <w:t>U</w:t>
      </w:r>
      <w:r w:rsidR="0081664C">
        <w:t xml:space="preserve">ncertainty </w:t>
      </w:r>
      <w:r w:rsidR="007C6756">
        <w:t>regarding the quantity and cost of suppl</w:t>
      </w:r>
      <w:r w:rsidR="00C55983">
        <w:t>y</w:t>
      </w:r>
      <w:r w:rsidR="0081664C">
        <w:t xml:space="preserve"> can </w:t>
      </w:r>
      <w:r w:rsidR="007C6756">
        <w:t>also</w:t>
      </w:r>
      <w:r w:rsidR="0081664C">
        <w:t xml:space="preserve"> have a significant impact on the expected </w:t>
      </w:r>
      <w:r w:rsidR="00D26955">
        <w:t xml:space="preserve">future </w:t>
      </w:r>
      <w:r w:rsidR="0081664C">
        <w:t>outcomes</w:t>
      </w:r>
      <w:r w:rsidR="00D26955">
        <w:t xml:space="preserve">.  </w:t>
      </w:r>
      <w:r w:rsidR="00CA0BBF">
        <w:t xml:space="preserve">This part of the subsection describes </w:t>
      </w:r>
      <w:r w:rsidR="00DD2F4B">
        <w:t>our</w:t>
      </w:r>
      <w:r w:rsidR="00D26955">
        <w:t xml:space="preserve"> </w:t>
      </w:r>
      <w:r w:rsidR="00DD2F4B">
        <w:t>assumptions regarding the following categories of</w:t>
      </w:r>
      <w:r w:rsidR="00D26955">
        <w:t xml:space="preserve"> supply</w:t>
      </w:r>
      <w:r w:rsidR="00DD2F4B">
        <w:t>:</w:t>
      </w:r>
    </w:p>
    <w:p w14:paraId="560721FE" w14:textId="32AE8DC6" w:rsidR="00DD2F4B" w:rsidRDefault="00DD2F4B" w:rsidP="00D212EA">
      <w:pPr>
        <w:pStyle w:val="rptmainbodybullets1"/>
      </w:pPr>
      <w:r>
        <w:t>Existing Resources</w:t>
      </w:r>
    </w:p>
    <w:p w14:paraId="7A7D69AB" w14:textId="36FD3C3F" w:rsidR="00DD2F4B" w:rsidRDefault="00DD2F4B" w:rsidP="00D212EA">
      <w:pPr>
        <w:pStyle w:val="rptmainbodybullets1"/>
      </w:pPr>
      <w:r>
        <w:t>Capacity Imports</w:t>
      </w:r>
    </w:p>
    <w:p w14:paraId="08620218" w14:textId="224ED468" w:rsidR="00DD2F4B" w:rsidRDefault="000515AA" w:rsidP="00D212EA">
      <w:pPr>
        <w:pStyle w:val="rptmainbodybullets1"/>
      </w:pPr>
      <w:r>
        <w:t>Offshore Wind Generation</w:t>
      </w:r>
    </w:p>
    <w:p w14:paraId="66C2CC01" w14:textId="0C4C4165" w:rsidR="000515AA" w:rsidRDefault="000515AA" w:rsidP="00D212EA">
      <w:pPr>
        <w:pStyle w:val="rptmainbodybullets1"/>
      </w:pPr>
      <w:r>
        <w:t>Energy Storage and Solar Resources</w:t>
      </w:r>
    </w:p>
    <w:p w14:paraId="47E2969B" w14:textId="254F1BA0" w:rsidR="00292691" w:rsidRDefault="00292691" w:rsidP="00D212EA">
      <w:pPr>
        <w:pStyle w:val="rptmainbodybullets1"/>
      </w:pPr>
      <w:r>
        <w:t>New Combustion Turbines</w:t>
      </w:r>
    </w:p>
    <w:p w14:paraId="361AA5AE" w14:textId="553912B9" w:rsidR="00292691" w:rsidRDefault="00292691" w:rsidP="0081664C">
      <w:pPr>
        <w:pStyle w:val="rptmainbodytext"/>
      </w:pPr>
      <w:r>
        <w:t>The assumptions for each category are described below.</w:t>
      </w:r>
    </w:p>
    <w:p w14:paraId="76C6A6BC" w14:textId="03B9CEF7" w:rsidR="00716C13" w:rsidRDefault="005C4A98" w:rsidP="009B2B54">
      <w:pPr>
        <w:pStyle w:val="rptmainbodyheading4"/>
      </w:pPr>
      <w:r>
        <w:t xml:space="preserve">Existing </w:t>
      </w:r>
      <w:r w:rsidRPr="009B2B54">
        <w:t>Resources</w:t>
      </w:r>
      <w:r w:rsidR="00836254">
        <w:tab/>
      </w:r>
    </w:p>
    <w:p w14:paraId="26049D1A" w14:textId="714383DE" w:rsidR="0024631F" w:rsidRDefault="000D3A5B">
      <w:pPr>
        <w:pStyle w:val="rptmainbodytext"/>
      </w:pPr>
      <w:r>
        <w:t xml:space="preserve">We </w:t>
      </w:r>
      <w:r w:rsidR="00A766BD">
        <w:t>included</w:t>
      </w:r>
      <w:r w:rsidR="0099699A">
        <w:t xml:space="preserve"> s</w:t>
      </w:r>
      <w:r w:rsidR="0099699A" w:rsidRPr="0099699A">
        <w:t xml:space="preserve">upply from various types of internal </w:t>
      </w:r>
      <w:r w:rsidR="0033253B">
        <w:t xml:space="preserve">capacity </w:t>
      </w:r>
      <w:r w:rsidR="0099699A" w:rsidRPr="0099699A">
        <w:t xml:space="preserve">resources based on the actual cleared quantities </w:t>
      </w:r>
      <w:r w:rsidR="00AD5D00">
        <w:t>in</w:t>
      </w:r>
      <w:r w:rsidR="00AD5D00" w:rsidRPr="0099699A">
        <w:t xml:space="preserve"> </w:t>
      </w:r>
      <w:r w:rsidR="0099699A" w:rsidRPr="0099699A">
        <w:t>FCA-15</w:t>
      </w:r>
      <w:r w:rsidR="009D3441">
        <w:t xml:space="preserve">.  </w:t>
      </w:r>
      <w:r w:rsidR="00F62284">
        <w:t xml:space="preserve">In developing our assumptions for capacity supply offers, we </w:t>
      </w:r>
      <w:r w:rsidR="001122BF">
        <w:t xml:space="preserve">grouped resources </w:t>
      </w:r>
      <w:r w:rsidR="00E43B6A">
        <w:t>according to</w:t>
      </w:r>
      <w:r w:rsidR="00076F29">
        <w:t xml:space="preserve"> their fuel type and</w:t>
      </w:r>
      <w:r w:rsidR="00E43B6A">
        <w:t>/or</w:t>
      </w:r>
      <w:r w:rsidR="00076F29">
        <w:t xml:space="preserve"> prime mover type</w:t>
      </w:r>
      <w:r w:rsidR="001D12F9">
        <w:t xml:space="preserve">, and </w:t>
      </w:r>
      <w:r w:rsidR="009458F5">
        <w:t xml:space="preserve">we </w:t>
      </w:r>
      <w:r w:rsidR="0024631F">
        <w:t>reviewed the class average net going forward costs (“Net GFCs”) from studies</w:t>
      </w:r>
      <w:r w:rsidR="00747227">
        <w:t xml:space="preserve"> </w:t>
      </w:r>
      <w:r w:rsidR="001D12F9">
        <w:t xml:space="preserve">that </w:t>
      </w:r>
      <w:r w:rsidR="00A36506">
        <w:t>have been</w:t>
      </w:r>
      <w:r w:rsidR="001D12F9">
        <w:t xml:space="preserve"> conducted for </w:t>
      </w:r>
      <w:r w:rsidR="00747227">
        <w:t>NESCOE and NEPOOL.</w:t>
      </w:r>
      <w:r w:rsidR="00747227">
        <w:rPr>
          <w:rStyle w:val="FootnoteReference"/>
        </w:rPr>
        <w:footnoteReference w:id="25"/>
      </w:r>
      <w:r w:rsidR="00747227">
        <w:t xml:space="preserve">  We </w:t>
      </w:r>
      <w:r w:rsidR="009F3AF5">
        <w:t xml:space="preserve">also </w:t>
      </w:r>
      <w:r w:rsidR="00DE5848">
        <w:t>considered</w:t>
      </w:r>
      <w:r w:rsidR="00E11959">
        <w:t xml:space="preserve"> </w:t>
      </w:r>
      <w:r w:rsidR="00747227">
        <w:t xml:space="preserve">the performance of </w:t>
      </w:r>
      <w:r w:rsidR="00E11959">
        <w:t xml:space="preserve">these </w:t>
      </w:r>
      <w:r w:rsidR="008F3E87">
        <w:t>resource</w:t>
      </w:r>
      <w:r w:rsidR="00E11959">
        <w:t xml:space="preserve"> types</w:t>
      </w:r>
      <w:r w:rsidR="008F3E87">
        <w:t xml:space="preserve"> </w:t>
      </w:r>
      <w:r w:rsidR="004C7EAA">
        <w:t xml:space="preserve">in shortage events </w:t>
      </w:r>
      <w:r w:rsidR="00C71CDF">
        <w:t>during</w:t>
      </w:r>
      <w:r w:rsidR="00D30B1C">
        <w:t xml:space="preserve"> </w:t>
      </w:r>
      <w:r w:rsidR="00C71CDF">
        <w:t xml:space="preserve">the 2018 event, </w:t>
      </w:r>
      <w:r w:rsidR="00CE0A52">
        <w:t xml:space="preserve">and </w:t>
      </w:r>
      <w:r w:rsidR="000863FA">
        <w:t>the</w:t>
      </w:r>
      <w:r w:rsidR="009F3AF5">
        <w:t>ir</w:t>
      </w:r>
      <w:r w:rsidR="000863FA">
        <w:t xml:space="preserve"> </w:t>
      </w:r>
      <w:r w:rsidR="00CE0A52">
        <w:t xml:space="preserve">likely performance </w:t>
      </w:r>
      <w:r w:rsidR="009F3AF5">
        <w:t xml:space="preserve">during shortages </w:t>
      </w:r>
      <w:r w:rsidR="00CE0A52">
        <w:t>in a system with high renewable penetration.</w:t>
      </w:r>
      <w:r w:rsidR="00C16B88">
        <w:t xml:space="preserve">  Ultimately,</w:t>
      </w:r>
    </w:p>
    <w:p w14:paraId="46154520" w14:textId="25904F86" w:rsidR="00D96CAB" w:rsidRDefault="00A17AF4" w:rsidP="009A36D1">
      <w:pPr>
        <w:pStyle w:val="rptmainbodybullets1"/>
      </w:pPr>
      <w:r>
        <w:t xml:space="preserve">We assumed </w:t>
      </w:r>
      <w:r w:rsidR="003E7850">
        <w:t>that the offers from most non-fossil resources</w:t>
      </w:r>
      <w:r>
        <w:t xml:space="preserve"> </w:t>
      </w:r>
      <w:r w:rsidR="00804BE7">
        <w:t>will be low and in the range of $0 to $1/kW-month.</w:t>
      </w:r>
      <w:r w:rsidR="00FD640D">
        <w:rPr>
          <w:rStyle w:val="FootnoteReference"/>
        </w:rPr>
        <w:footnoteReference w:id="26"/>
      </w:r>
      <w:r w:rsidR="00804BE7">
        <w:t xml:space="preserve">  </w:t>
      </w:r>
    </w:p>
    <w:p w14:paraId="6A6F10C7" w14:textId="4626C6CC" w:rsidR="00490789" w:rsidRDefault="00117E9C" w:rsidP="009A36D1">
      <w:pPr>
        <w:pStyle w:val="rptmainbodybullets1"/>
      </w:pPr>
      <w:r>
        <w:t>W</w:t>
      </w:r>
      <w:r w:rsidR="00490789" w:rsidRPr="0099699A">
        <w:t>e assume</w:t>
      </w:r>
      <w:r>
        <w:t>d that</w:t>
      </w:r>
      <w:r w:rsidR="00490789" w:rsidRPr="0099699A">
        <w:t xml:space="preserve"> offers from </w:t>
      </w:r>
      <w:r>
        <w:t xml:space="preserve">CCs and CTs will </w:t>
      </w:r>
      <w:r w:rsidR="00490789" w:rsidRPr="0099699A">
        <w:t>rang</w:t>
      </w:r>
      <w:r>
        <w:t>e</w:t>
      </w:r>
      <w:r w:rsidR="00490789" w:rsidRPr="0099699A">
        <w:t xml:space="preserve"> from $1-$4/kW-mo</w:t>
      </w:r>
      <w:r>
        <w:t xml:space="preserve"> with CCs</w:t>
      </w:r>
      <w:r w:rsidR="00AE3BEF">
        <w:t xml:space="preserve"> that entered into service before 2000 having higher costs</w:t>
      </w:r>
      <w:r w:rsidR="004D5A73">
        <w:t xml:space="preserve"> </w:t>
      </w:r>
      <w:r w:rsidR="00A47ADF">
        <w:t xml:space="preserve">(due to their inflexible characteristics) </w:t>
      </w:r>
      <w:r w:rsidR="004D5A73">
        <w:t>relative to other CCs and CTs.</w:t>
      </w:r>
    </w:p>
    <w:p w14:paraId="6746E89E" w14:textId="3B28A1AA" w:rsidR="0099699A" w:rsidRDefault="0099699A" w:rsidP="009A36D1">
      <w:pPr>
        <w:pStyle w:val="rptmainbodybullets1"/>
      </w:pPr>
      <w:r w:rsidRPr="0099699A">
        <w:t>Oil/gas-fired steam turbines are assumed to</w:t>
      </w:r>
      <w:r w:rsidR="00D93DB9">
        <w:t xml:space="preserve"> offer to sell capacity at a breakeven level considering </w:t>
      </w:r>
      <w:r w:rsidR="000525E5">
        <w:t>based on relatively</w:t>
      </w:r>
      <w:r w:rsidRPr="0099699A">
        <w:t xml:space="preserve"> high</w:t>
      </w:r>
      <w:r w:rsidR="000525E5">
        <w:t xml:space="preserve"> ($</w:t>
      </w:r>
      <w:r w:rsidR="009E0514">
        <w:t>21</w:t>
      </w:r>
      <w:r w:rsidR="000525E5">
        <w:t>/kw-month</w:t>
      </w:r>
      <w:r w:rsidR="009E0514">
        <w:t xml:space="preserve"> in 2030$</w:t>
      </w:r>
      <w:r w:rsidR="000525E5">
        <w:t>)</w:t>
      </w:r>
      <w:r w:rsidRPr="0099699A">
        <w:t xml:space="preserve"> GFCs, higher</w:t>
      </w:r>
      <w:r w:rsidR="00ED10A2">
        <w:t xml:space="preserve"> expected</w:t>
      </w:r>
      <w:r w:rsidRPr="0099699A">
        <w:t xml:space="preserve"> </w:t>
      </w:r>
      <w:r w:rsidR="00ED10A2">
        <w:t xml:space="preserve">future </w:t>
      </w:r>
      <w:r w:rsidRPr="0099699A">
        <w:t>PPR</w:t>
      </w:r>
      <w:r w:rsidR="00ED10A2">
        <w:t xml:space="preserve"> levels</w:t>
      </w:r>
      <w:r w:rsidRPr="0099699A">
        <w:t xml:space="preserve">, and </w:t>
      </w:r>
      <w:r w:rsidR="00ED10A2">
        <w:t xml:space="preserve">their typically </w:t>
      </w:r>
      <w:r w:rsidRPr="0099699A">
        <w:t>poor performance in PFP events</w:t>
      </w:r>
      <w:r w:rsidR="007A2715">
        <w:t>.</w:t>
      </w:r>
    </w:p>
    <w:p w14:paraId="55D91594" w14:textId="68F88462" w:rsidR="00F2670D" w:rsidRPr="0099699A" w:rsidRDefault="00293043" w:rsidP="00D212EA">
      <w:pPr>
        <w:pStyle w:val="rptmainbodytext"/>
      </w:pPr>
      <w:r>
        <w:t xml:space="preserve">These </w:t>
      </w:r>
      <w:r w:rsidR="003365B5">
        <w:t>capacity offers</w:t>
      </w:r>
      <w:r>
        <w:t xml:space="preserve"> were set considering the revenue levels that </w:t>
      </w:r>
      <w:r w:rsidR="00FE5933">
        <w:t>w</w:t>
      </w:r>
      <w:r>
        <w:t>ould result in retirements</w:t>
      </w:r>
      <w:r w:rsidR="00047ADE">
        <w:t xml:space="preserve"> in sustained over a three-year period.  </w:t>
      </w:r>
      <w:r w:rsidR="00145336">
        <w:t>Hence, t</w:t>
      </w:r>
      <w:r w:rsidR="00047ADE">
        <w:t xml:space="preserve">hese </w:t>
      </w:r>
      <w:r w:rsidR="00FE5933">
        <w:t xml:space="preserve">capacity offers </w:t>
      </w:r>
      <w:r w:rsidR="00047ADE">
        <w:t xml:space="preserve">are generally higher than </w:t>
      </w:r>
      <w:r w:rsidR="00FE5933">
        <w:t xml:space="preserve">what would be </w:t>
      </w:r>
      <w:r w:rsidR="00AF76F9">
        <w:t>appropriate if we were modeling a single year of revenues.</w:t>
      </w:r>
    </w:p>
    <w:p w14:paraId="0106AA0B" w14:textId="11C90885" w:rsidR="005C4A98" w:rsidRDefault="00A659C8" w:rsidP="005C4A98">
      <w:pPr>
        <w:pStyle w:val="rptmainbodyheading4"/>
      </w:pPr>
      <w:r>
        <w:lastRenderedPageBreak/>
        <w:t xml:space="preserve">Capacity </w:t>
      </w:r>
      <w:r w:rsidR="005C4A98">
        <w:t>Imports</w:t>
      </w:r>
    </w:p>
    <w:p w14:paraId="0C1C709F" w14:textId="5AC952D0" w:rsidR="005C4A98" w:rsidRDefault="000D3A5B" w:rsidP="005C4A98">
      <w:pPr>
        <w:pStyle w:val="rptmainbodytext"/>
      </w:pPr>
      <w:r>
        <w:t xml:space="preserve">We </w:t>
      </w:r>
      <w:r w:rsidR="001D5DF3">
        <w:t xml:space="preserve">included </w:t>
      </w:r>
      <w:r w:rsidR="00AB4107">
        <w:t xml:space="preserve">capacity </w:t>
      </w:r>
      <w:r w:rsidR="001D5DF3">
        <w:t xml:space="preserve">supply from </w:t>
      </w:r>
      <w:r w:rsidR="00D912F8">
        <w:t xml:space="preserve">the </w:t>
      </w:r>
      <w:r w:rsidR="00FE20BB">
        <w:t xml:space="preserve">following </w:t>
      </w:r>
      <w:r w:rsidR="00A659C8">
        <w:t xml:space="preserve">neighboring </w:t>
      </w:r>
      <w:r w:rsidR="00F83C15">
        <w:t>markets</w:t>
      </w:r>
      <w:r w:rsidR="00883B24">
        <w:t>:</w:t>
      </w:r>
      <w:r w:rsidR="00C60E66">
        <w:rPr>
          <w:rStyle w:val="FootnoteReference"/>
        </w:rPr>
        <w:footnoteReference w:id="27"/>
      </w:r>
    </w:p>
    <w:p w14:paraId="765A26C6" w14:textId="20CEBB65" w:rsidR="00883B24" w:rsidRDefault="00FE20BB" w:rsidP="00D212EA">
      <w:pPr>
        <w:pStyle w:val="rptmainbodybullets1"/>
        <w:spacing w:line="276" w:lineRule="auto"/>
      </w:pPr>
      <w:r w:rsidRPr="009A36D1">
        <w:rPr>
          <w:i/>
          <w:iCs/>
          <w:u w:val="single"/>
        </w:rPr>
        <w:t>New York</w:t>
      </w:r>
      <w:r>
        <w:t xml:space="preserve"> </w:t>
      </w:r>
      <w:r w:rsidR="00351095">
        <w:t>–</w:t>
      </w:r>
      <w:r>
        <w:t xml:space="preserve"> </w:t>
      </w:r>
      <w:r w:rsidR="00173386">
        <w:t xml:space="preserve">Consistent with </w:t>
      </w:r>
      <w:r w:rsidR="00DF40C9">
        <w:t>recent FCA outcomes</w:t>
      </w:r>
      <w:r w:rsidR="00173386">
        <w:t xml:space="preserve">, we included </w:t>
      </w:r>
      <w:r w:rsidR="005541A9">
        <w:t xml:space="preserve">up to </w:t>
      </w:r>
      <w:r w:rsidR="00046B2C">
        <w:t xml:space="preserve">750 </w:t>
      </w:r>
      <w:r w:rsidR="00DF40C9">
        <w:t xml:space="preserve">MW of imports from New York.  We assumed that imports from New York </w:t>
      </w:r>
      <w:r w:rsidR="006C1661">
        <w:t xml:space="preserve">are price sensitive, and </w:t>
      </w:r>
      <w:r w:rsidR="0005437D">
        <w:t xml:space="preserve">that </w:t>
      </w:r>
      <w:r w:rsidR="006C1661">
        <w:t xml:space="preserve">the </w:t>
      </w:r>
      <w:r w:rsidR="000707B5">
        <w:t>offer</w:t>
      </w:r>
      <w:r w:rsidR="0005437D">
        <w:t xml:space="preserve"> </w:t>
      </w:r>
      <w:r w:rsidR="000707B5">
        <w:t>levels</w:t>
      </w:r>
      <w:r w:rsidR="006C1661">
        <w:t xml:space="preserve"> depend</w:t>
      </w:r>
      <w:r w:rsidR="00764AC1">
        <w:t xml:space="preserve"> on:</w:t>
      </w:r>
      <w:r w:rsidR="007B3F93">
        <w:t xml:space="preserve"> (a)</w:t>
      </w:r>
      <w:r w:rsidR="006C1661">
        <w:t xml:space="preserve"> the slope of the demand curve </w:t>
      </w:r>
      <w:r w:rsidR="000707B5">
        <w:t xml:space="preserve">in the </w:t>
      </w:r>
      <w:r w:rsidR="00A201AE">
        <w:t>New York Control Area (“NYCA”)</w:t>
      </w:r>
      <w:r w:rsidR="007B3F93">
        <w:t xml:space="preserve">, and (b) </w:t>
      </w:r>
      <w:r w:rsidR="003950D8">
        <w:t xml:space="preserve">the capacity prices in NYCA.  </w:t>
      </w:r>
      <w:r w:rsidR="00C27609">
        <w:t xml:space="preserve">We considered </w:t>
      </w:r>
      <w:r w:rsidR="00C27609" w:rsidRPr="00C27609">
        <w:t xml:space="preserve">3 scenarios (with equal probability weights) for </w:t>
      </w:r>
      <w:r w:rsidR="00C27609">
        <w:t>the surplus</w:t>
      </w:r>
      <w:r w:rsidR="00E971D0">
        <w:t xml:space="preserve">/ </w:t>
      </w:r>
      <w:r w:rsidR="00C27609">
        <w:t xml:space="preserve">capacity prices in </w:t>
      </w:r>
      <w:r w:rsidR="00C008D6">
        <w:t>NYCA</w:t>
      </w:r>
      <w:r w:rsidR="00C27609">
        <w:t xml:space="preserve">: </w:t>
      </w:r>
    </w:p>
    <w:p w14:paraId="20845674" w14:textId="5F9491A9" w:rsidR="00E971D0" w:rsidRPr="00E971D0" w:rsidRDefault="00E971D0" w:rsidP="00D212EA">
      <w:pPr>
        <w:pStyle w:val="rptmainbodybullets2"/>
        <w:spacing w:before="120"/>
      </w:pPr>
      <w:r w:rsidRPr="00AD1628">
        <w:rPr>
          <w:i/>
        </w:rPr>
        <w:t>Large Surplus</w:t>
      </w:r>
      <w:r w:rsidRPr="00E971D0">
        <w:t xml:space="preserve"> - NYCA prices are close to $0/kW-mo</w:t>
      </w:r>
      <w:r w:rsidR="00E23F71">
        <w:t>.</w:t>
      </w:r>
      <w:r w:rsidR="00A948F2">
        <w:t xml:space="preserve">  An upward sloping </w:t>
      </w:r>
      <w:r w:rsidR="000C50E3">
        <w:t xml:space="preserve">import cost curve rises from $0 </w:t>
      </w:r>
      <w:r w:rsidR="00931298">
        <w:t>based on the slope of the NYCA capacity demand curve.</w:t>
      </w:r>
    </w:p>
    <w:p w14:paraId="0FF5726A" w14:textId="457DE359" w:rsidR="00E971D0" w:rsidRPr="00E971D0" w:rsidRDefault="00E971D0" w:rsidP="00D212EA">
      <w:pPr>
        <w:pStyle w:val="rptmainbodybullets2"/>
        <w:spacing w:before="120"/>
      </w:pPr>
      <w:r w:rsidRPr="00AD1628">
        <w:rPr>
          <w:i/>
        </w:rPr>
        <w:t>Moderate Surplus</w:t>
      </w:r>
      <w:r w:rsidRPr="00E971D0">
        <w:t xml:space="preserve"> - NYCA prices are half its Net CONE</w:t>
      </w:r>
      <w:r w:rsidR="00E23F71">
        <w:t>.</w:t>
      </w:r>
      <w:r w:rsidR="00A160DE">
        <w:t xml:space="preserve">  </w:t>
      </w:r>
      <w:r w:rsidR="002F582A">
        <w:t>The</w:t>
      </w:r>
      <w:r w:rsidR="00A160DE">
        <w:t xml:space="preserve"> import cost curve rises from </w:t>
      </w:r>
      <w:r w:rsidR="00B031C4">
        <w:t>this level</w:t>
      </w:r>
      <w:r w:rsidR="00232152">
        <w:t xml:space="preserve"> based on the slope of the NYCA capacity demand curve.</w:t>
      </w:r>
      <w:r w:rsidRPr="00E971D0">
        <w:t xml:space="preserve"> </w:t>
      </w:r>
    </w:p>
    <w:p w14:paraId="541CEFD9" w14:textId="705DD4A6" w:rsidR="00E971D0" w:rsidRDefault="00E971D0" w:rsidP="00D212EA">
      <w:pPr>
        <w:pStyle w:val="rptmainbodybullets2"/>
        <w:spacing w:before="120"/>
      </w:pPr>
      <w:r w:rsidRPr="00AD1628">
        <w:rPr>
          <w:i/>
        </w:rPr>
        <w:t xml:space="preserve">NYISO </w:t>
      </w:r>
      <w:r w:rsidR="0024422D">
        <w:rPr>
          <w:i/>
          <w:iCs/>
        </w:rPr>
        <w:t xml:space="preserve">is </w:t>
      </w:r>
      <w:r w:rsidRPr="00AD1628">
        <w:rPr>
          <w:i/>
        </w:rPr>
        <w:t>at criteria</w:t>
      </w:r>
      <w:r w:rsidRPr="00E971D0">
        <w:t xml:space="preserve"> - NYCA prices at its Net CONE</w:t>
      </w:r>
      <w:r w:rsidR="00E23F71">
        <w:t>.</w:t>
      </w:r>
      <w:r w:rsidR="00AC2FF8">
        <w:t xml:space="preserve">  The import cost curve starts at this level</w:t>
      </w:r>
      <w:r w:rsidR="00122F33">
        <w:t>.</w:t>
      </w:r>
    </w:p>
    <w:p w14:paraId="126874C5" w14:textId="6AB51C36" w:rsidR="00FE20BB" w:rsidRDefault="006E55D1" w:rsidP="00D212EA">
      <w:pPr>
        <w:pStyle w:val="rptmainbodybullets1"/>
        <w:spacing w:line="276" w:lineRule="auto"/>
      </w:pPr>
      <w:r>
        <w:rPr>
          <w:i/>
          <w:iCs/>
          <w:u w:val="single"/>
        </w:rPr>
        <w:t>Hydro Quebec</w:t>
      </w:r>
      <w:r w:rsidR="00995F96">
        <w:rPr>
          <w:i/>
          <w:iCs/>
          <w:u w:val="single"/>
        </w:rPr>
        <w:t xml:space="preserve"> and </w:t>
      </w:r>
      <w:r>
        <w:rPr>
          <w:i/>
          <w:iCs/>
          <w:u w:val="single"/>
        </w:rPr>
        <w:t>New Brunswick</w:t>
      </w:r>
      <w:r w:rsidR="007616AC">
        <w:t xml:space="preserve"> </w:t>
      </w:r>
      <w:r w:rsidR="00666727">
        <w:t>–</w:t>
      </w:r>
      <w:r w:rsidR="007616AC">
        <w:t xml:space="preserve"> </w:t>
      </w:r>
      <w:r w:rsidR="00666727">
        <w:t xml:space="preserve">We </w:t>
      </w:r>
      <w:r w:rsidR="006D28A5">
        <w:t xml:space="preserve">included </w:t>
      </w:r>
      <w:r w:rsidR="00666727">
        <w:t xml:space="preserve">imports from </w:t>
      </w:r>
      <w:r w:rsidR="00E23F71">
        <w:t xml:space="preserve">Canada (HQ and </w:t>
      </w:r>
      <w:r>
        <w:t>New Brunswick</w:t>
      </w:r>
      <w:r w:rsidR="00E23F71">
        <w:t xml:space="preserve">) over </w:t>
      </w:r>
      <w:r w:rsidR="00666727">
        <w:t xml:space="preserve">existing as well as </w:t>
      </w:r>
      <w:r w:rsidR="00E23F71">
        <w:t xml:space="preserve">potential </w:t>
      </w:r>
      <w:r w:rsidR="00666727">
        <w:t>new</w:t>
      </w:r>
      <w:r w:rsidR="00FE20BB">
        <w:t xml:space="preserve"> </w:t>
      </w:r>
      <w:r w:rsidR="00E23F71">
        <w:t>transmission ties</w:t>
      </w:r>
      <w:r w:rsidR="00223E87">
        <w:t>.</w:t>
      </w:r>
    </w:p>
    <w:p w14:paraId="74BEAF58" w14:textId="5C39995A" w:rsidR="00223E87" w:rsidRDefault="00223E87" w:rsidP="00D212EA">
      <w:pPr>
        <w:pStyle w:val="rptmainbodybullets1"/>
        <w:numPr>
          <w:ilvl w:val="1"/>
          <w:numId w:val="5"/>
        </w:numPr>
        <w:spacing w:before="120"/>
      </w:pPr>
      <w:r w:rsidRPr="00AD1628">
        <w:rPr>
          <w:i/>
        </w:rPr>
        <w:t>Existing Ties</w:t>
      </w:r>
      <w:r w:rsidRPr="009A36D1">
        <w:t xml:space="preserve"> </w:t>
      </w:r>
      <w:r>
        <w:t>–</w:t>
      </w:r>
      <w:r w:rsidRPr="00223E87">
        <w:t xml:space="preserve"> </w:t>
      </w:r>
      <w:r w:rsidR="000801E0">
        <w:t xml:space="preserve">We </w:t>
      </w:r>
      <w:r w:rsidR="005A159A">
        <w:t>included</w:t>
      </w:r>
      <w:r w:rsidR="000801E0">
        <w:t xml:space="preserve"> </w:t>
      </w:r>
      <w:r w:rsidR="00772981">
        <w:t xml:space="preserve">imports from Canada over existing lines </w:t>
      </w:r>
      <w:r w:rsidR="005A159A">
        <w:t>based on actual cleared quantities in FCA-15.</w:t>
      </w:r>
    </w:p>
    <w:p w14:paraId="33F8D0F0" w14:textId="35F7D3DB" w:rsidR="00223E87" w:rsidRPr="00223E87" w:rsidRDefault="00223E87" w:rsidP="00D212EA">
      <w:pPr>
        <w:pStyle w:val="rptmainbodybullets1"/>
        <w:numPr>
          <w:ilvl w:val="1"/>
          <w:numId w:val="5"/>
        </w:numPr>
        <w:spacing w:before="120"/>
      </w:pPr>
      <w:r w:rsidRPr="00AD1628">
        <w:rPr>
          <w:i/>
        </w:rPr>
        <w:t>New Transmission Lines</w:t>
      </w:r>
      <w:r>
        <w:t xml:space="preserve"> </w:t>
      </w:r>
      <w:r w:rsidR="00CD0003">
        <w:t>–</w:t>
      </w:r>
      <w:r>
        <w:t xml:space="preserve"> </w:t>
      </w:r>
      <w:r w:rsidR="00CD0003">
        <w:t xml:space="preserve">The Massachusetts utilities have entered into long-term contracts with </w:t>
      </w:r>
      <w:r w:rsidR="00D54286" w:rsidRPr="00D54286">
        <w:t>New England Clean Energy Connec</w:t>
      </w:r>
      <w:r w:rsidR="00D54286">
        <w:t>t</w:t>
      </w:r>
      <w:r w:rsidR="00CD0003">
        <w:t xml:space="preserve"> (“NECEC”), which is a </w:t>
      </w:r>
      <w:r w:rsidR="00D54286">
        <w:t>1200</w:t>
      </w:r>
      <w:r w:rsidR="0029529E">
        <w:t xml:space="preserve"> MW HVDC transmissions line.  For the purpose</w:t>
      </w:r>
      <w:r w:rsidR="00E86575">
        <w:t>s</w:t>
      </w:r>
      <w:r w:rsidR="0029529E">
        <w:t xml:space="preserve"> of our analysis, w</w:t>
      </w:r>
      <w:r w:rsidR="0029529E" w:rsidRPr="0029529E">
        <w:t>e assigned a weight of 80</w:t>
      </w:r>
      <w:r w:rsidR="00A705AC">
        <w:t xml:space="preserve"> percent</w:t>
      </w:r>
      <w:r w:rsidR="0029529E" w:rsidRPr="0029529E">
        <w:t xml:space="preserve"> to the scenario where the NECEC is in-service.</w:t>
      </w:r>
    </w:p>
    <w:p w14:paraId="4775DDCC" w14:textId="3A1941E1" w:rsidR="005C4A98" w:rsidRDefault="005C4A98" w:rsidP="005C4A98">
      <w:pPr>
        <w:pStyle w:val="rptmainbodyheading4"/>
      </w:pPr>
      <w:r>
        <w:t>New Offshore Wind Resources</w:t>
      </w:r>
    </w:p>
    <w:p w14:paraId="41D5587F" w14:textId="01ED2D36" w:rsidR="0003241A" w:rsidRPr="0003241A" w:rsidRDefault="00430673" w:rsidP="0003241A">
      <w:pPr>
        <w:pStyle w:val="rptmainbodytext"/>
      </w:pPr>
      <w:r>
        <w:t xml:space="preserve">Several New England states have set </w:t>
      </w:r>
      <w:r w:rsidR="008E7A8D">
        <w:t>targets to procure offshore wind resources</w:t>
      </w:r>
      <w:r w:rsidR="00B565C8">
        <w:t>.  However,</w:t>
      </w:r>
      <w:r w:rsidR="00A956DC">
        <w:t xml:space="preserve"> the quantity and timing of </w:t>
      </w:r>
      <w:r w:rsidR="00B565C8">
        <w:t xml:space="preserve">entry </w:t>
      </w:r>
      <w:r w:rsidR="00245708">
        <w:t>is uncertain</w:t>
      </w:r>
      <w:r w:rsidR="008E7A8D">
        <w:t xml:space="preserve">.  </w:t>
      </w:r>
      <w:r w:rsidR="00BD4C43">
        <w:t>T</w:t>
      </w:r>
      <w:r w:rsidR="008E7A8D">
        <w:t xml:space="preserve">he </w:t>
      </w:r>
      <w:r w:rsidR="00170572">
        <w:t xml:space="preserve">target quantities and the timing of the targets have </w:t>
      </w:r>
      <w:r w:rsidR="00BD4C43">
        <w:t xml:space="preserve">become increasingly aggressive </w:t>
      </w:r>
      <w:r w:rsidR="00170572">
        <w:t>(see</w:t>
      </w:r>
      <w:r w:rsidR="00DD7C10">
        <w:t xml:space="preserve"> </w:t>
      </w:r>
      <w:r w:rsidR="00DD7C10">
        <w:fldChar w:fldCharType="begin"/>
      </w:r>
      <w:r w:rsidR="00DD7C10">
        <w:instrText xml:space="preserve"> REF _Ref86064906 \h </w:instrText>
      </w:r>
      <w:r w:rsidR="00DD7C10">
        <w:fldChar w:fldCharType="separate"/>
      </w:r>
      <w:r w:rsidR="00DD7C10">
        <w:t xml:space="preserve">Table </w:t>
      </w:r>
      <w:r w:rsidR="00DD7C10">
        <w:rPr>
          <w:noProof/>
        </w:rPr>
        <w:t>1</w:t>
      </w:r>
      <w:r w:rsidR="00DD7C10">
        <w:fldChar w:fldCharType="end"/>
      </w:r>
      <w:r w:rsidR="00170572">
        <w:t>)</w:t>
      </w:r>
      <w:r w:rsidR="004F1B4D">
        <w:t xml:space="preserve"> over the years</w:t>
      </w:r>
      <w:r w:rsidR="00170572">
        <w:t>.</w:t>
      </w:r>
      <w:r w:rsidR="00BD4C43">
        <w:t xml:space="preserve">  </w:t>
      </w:r>
      <w:r w:rsidR="00245708">
        <w:t>Conversely</w:t>
      </w:r>
      <w:r w:rsidR="00BD4C43">
        <w:t>, t</w:t>
      </w:r>
      <w:r w:rsidR="002323D7">
        <w:t xml:space="preserve">here have also been delays in entry of </w:t>
      </w:r>
      <w:r w:rsidR="008250E1">
        <w:t xml:space="preserve">offshore wind resources that have already secured contracts with state utilities.  </w:t>
      </w:r>
      <w:r w:rsidR="00802F36">
        <w:t>W</w:t>
      </w:r>
      <w:r w:rsidR="008250E1">
        <w:t xml:space="preserve">e developed </w:t>
      </w:r>
      <w:r w:rsidR="00AC4549">
        <w:t>three</w:t>
      </w:r>
      <w:r w:rsidR="0003241A" w:rsidRPr="0003241A">
        <w:t xml:space="preserve"> equally</w:t>
      </w:r>
      <w:r w:rsidR="00A57B29">
        <w:t xml:space="preserve"> </w:t>
      </w:r>
      <w:r w:rsidR="0003241A" w:rsidRPr="0003241A">
        <w:t>weighted scenarios for offshore wind capacity in 2030</w:t>
      </w:r>
      <w:r w:rsidR="0003241A">
        <w:t>:</w:t>
      </w:r>
      <w:r w:rsidR="00284939" w:rsidRPr="00284939">
        <w:rPr>
          <w:rStyle w:val="FootnoteReference"/>
        </w:rPr>
        <w:t xml:space="preserve"> </w:t>
      </w:r>
      <w:r w:rsidR="00284939">
        <w:rPr>
          <w:rStyle w:val="FootnoteReference"/>
        </w:rPr>
        <w:footnoteReference w:id="28"/>
      </w:r>
    </w:p>
    <w:p w14:paraId="30B0DD59" w14:textId="223F5125" w:rsidR="0003241A" w:rsidRPr="0003241A" w:rsidRDefault="0003241A" w:rsidP="00DC6A8C">
      <w:pPr>
        <w:pStyle w:val="rptmainbodybullets1"/>
        <w:spacing w:before="120"/>
      </w:pPr>
      <w:r w:rsidRPr="009A36D1">
        <w:rPr>
          <w:i/>
          <w:iCs/>
        </w:rPr>
        <w:t>Mid</w:t>
      </w:r>
      <w:r w:rsidRPr="0003241A">
        <w:t xml:space="preserve"> – </w:t>
      </w:r>
      <w:r w:rsidR="00DC6A8C">
        <w:t>A</w:t>
      </w:r>
      <w:r w:rsidR="00534925">
        <w:t xml:space="preserve">ssumes offshore wind </w:t>
      </w:r>
      <w:r w:rsidRPr="0003241A">
        <w:t xml:space="preserve">quantities </w:t>
      </w:r>
      <w:r w:rsidR="00534925">
        <w:t xml:space="preserve">that are </w:t>
      </w:r>
      <w:r w:rsidRPr="0003241A">
        <w:t xml:space="preserve">currently targeted by 2030 </w:t>
      </w:r>
      <w:r w:rsidR="007C251A">
        <w:t>by</w:t>
      </w:r>
      <w:r w:rsidRPr="0003241A">
        <w:t xml:space="preserve"> </w:t>
      </w:r>
      <w:r w:rsidR="007C251A">
        <w:t>Massachusetts, Connecticut and Rhode Island.</w:t>
      </w:r>
    </w:p>
    <w:p w14:paraId="6EF32E7F" w14:textId="3C988DB8" w:rsidR="00CB47F9" w:rsidRPr="0003241A" w:rsidRDefault="00CB47F9" w:rsidP="00DC6A8C">
      <w:pPr>
        <w:pStyle w:val="rptmainbodybullets1"/>
        <w:spacing w:before="120"/>
      </w:pPr>
      <w:r w:rsidRPr="002471E5">
        <w:rPr>
          <w:i/>
          <w:iCs/>
        </w:rPr>
        <w:t>Low</w:t>
      </w:r>
      <w:r w:rsidRPr="0003241A">
        <w:t xml:space="preserve"> – </w:t>
      </w:r>
      <w:r w:rsidR="00DC6A8C">
        <w:t>I</w:t>
      </w:r>
      <w:r w:rsidRPr="0003241A">
        <w:t>nclude</w:t>
      </w:r>
      <w:r>
        <w:t xml:space="preserve">s </w:t>
      </w:r>
      <w:r w:rsidRPr="0003241A">
        <w:t>only</w:t>
      </w:r>
      <w:r>
        <w:t xml:space="preserve"> the</w:t>
      </w:r>
      <w:r w:rsidRPr="0003241A">
        <w:t xml:space="preserve"> procurements </w:t>
      </w:r>
      <w:r>
        <w:t xml:space="preserve">that are </w:t>
      </w:r>
      <w:r w:rsidRPr="0003241A">
        <w:t>currently underway or complete</w:t>
      </w:r>
      <w:r>
        <w:t>.</w:t>
      </w:r>
    </w:p>
    <w:p w14:paraId="76011E77" w14:textId="5D1D5A82" w:rsidR="005C4A98" w:rsidRDefault="0003241A" w:rsidP="00DC6A8C">
      <w:pPr>
        <w:pStyle w:val="rptmainbodybullets1"/>
        <w:spacing w:before="120"/>
      </w:pPr>
      <w:r w:rsidRPr="009A36D1">
        <w:rPr>
          <w:i/>
          <w:iCs/>
        </w:rPr>
        <w:lastRenderedPageBreak/>
        <w:t>High</w:t>
      </w:r>
      <w:r w:rsidRPr="0003241A">
        <w:t xml:space="preserve"> – </w:t>
      </w:r>
      <w:r w:rsidR="00DC6A8C">
        <w:t>A</w:t>
      </w:r>
      <w:r w:rsidRPr="0003241A">
        <w:t>ssume</w:t>
      </w:r>
      <w:r w:rsidR="007C251A">
        <w:t>s</w:t>
      </w:r>
      <w:r w:rsidRPr="0003241A">
        <w:t xml:space="preserve"> additional procurements similar to recent increases in MA, CT and RI</w:t>
      </w:r>
      <w:r w:rsidR="007C251A">
        <w:t xml:space="preserve">.  </w:t>
      </w:r>
      <w:r w:rsidR="004904AA">
        <w:t xml:space="preserve">These states have increased their targets by </w:t>
      </w:r>
      <w:r w:rsidR="00F05D34">
        <w:t xml:space="preserve">over 4 GW </w:t>
      </w:r>
      <w:r w:rsidR="004904AA">
        <w:t xml:space="preserve">in the </w:t>
      </w:r>
      <w:r w:rsidR="00851EA4">
        <w:t xml:space="preserve">last </w:t>
      </w:r>
      <w:r w:rsidR="00F05D34">
        <w:t>4</w:t>
      </w:r>
      <w:r w:rsidR="00851EA4">
        <w:t xml:space="preserve"> years </w:t>
      </w:r>
      <w:r w:rsidR="00451F6F">
        <w:t xml:space="preserve">(see </w:t>
      </w:r>
      <w:r w:rsidR="00DD7C10">
        <w:fldChar w:fldCharType="begin"/>
      </w:r>
      <w:r w:rsidR="00DD7C10">
        <w:instrText xml:space="preserve"> REF _Ref86064906 \h </w:instrText>
      </w:r>
      <w:r w:rsidR="00DD7C10">
        <w:fldChar w:fldCharType="separate"/>
      </w:r>
      <w:r w:rsidR="00DD7C10">
        <w:t xml:space="preserve">Table </w:t>
      </w:r>
      <w:r w:rsidR="00DD7C10">
        <w:rPr>
          <w:noProof/>
        </w:rPr>
        <w:t>1</w:t>
      </w:r>
      <w:r w:rsidR="00DD7C10">
        <w:fldChar w:fldCharType="end"/>
      </w:r>
      <w:r w:rsidR="00451F6F">
        <w:t>).</w:t>
      </w:r>
    </w:p>
    <w:p w14:paraId="0321018F" w14:textId="3730F237" w:rsidR="00430673" w:rsidRDefault="00607B11" w:rsidP="005C4A98">
      <w:pPr>
        <w:pStyle w:val="rptmainbodytext"/>
      </w:pPr>
      <w:r>
        <w:t>W</w:t>
      </w:r>
      <w:r w:rsidR="000F21BD">
        <w:t xml:space="preserve">e </w:t>
      </w:r>
      <w:r w:rsidR="003711AB">
        <w:t xml:space="preserve">estimated </w:t>
      </w:r>
      <w:r w:rsidR="00B96354">
        <w:t xml:space="preserve">the amount of capacity that </w:t>
      </w:r>
      <w:r w:rsidR="003711AB">
        <w:t>could</w:t>
      </w:r>
      <w:r w:rsidR="00B96354">
        <w:t xml:space="preserve"> be sold </w:t>
      </w:r>
      <w:r>
        <w:t xml:space="preserve">in </w:t>
      </w:r>
      <w:r w:rsidR="003711AB">
        <w:t xml:space="preserve">future </w:t>
      </w:r>
      <w:r>
        <w:t xml:space="preserve">FCAs </w:t>
      </w:r>
      <w:r w:rsidR="00B96354">
        <w:t>using a</w:t>
      </w:r>
      <w:r w:rsidR="0018676F">
        <w:t>n</w:t>
      </w:r>
      <w:r w:rsidR="00B96354">
        <w:t xml:space="preserve"> </w:t>
      </w:r>
      <w:r w:rsidR="00B96354" w:rsidRPr="00B96354">
        <w:t>ELCC curve</w:t>
      </w:r>
      <w:r>
        <w:t xml:space="preserve"> that reflects</w:t>
      </w:r>
      <w:r w:rsidR="00185986">
        <w:t xml:space="preserve"> the</w:t>
      </w:r>
      <w:r>
        <w:t xml:space="preserve"> </w:t>
      </w:r>
      <w:r w:rsidR="00185986">
        <w:t xml:space="preserve">falling </w:t>
      </w:r>
      <w:r>
        <w:t xml:space="preserve">capacity value of offshore wind resources </w:t>
      </w:r>
      <w:r w:rsidR="00C049F0">
        <w:t>as</w:t>
      </w:r>
      <w:r>
        <w:t xml:space="preserve"> </w:t>
      </w:r>
      <w:r w:rsidR="00C049F0">
        <w:t xml:space="preserve">the </w:t>
      </w:r>
      <w:r>
        <w:t>penetration levels</w:t>
      </w:r>
      <w:r w:rsidR="00C049F0">
        <w:t xml:space="preserve"> increase</w:t>
      </w:r>
      <w:r w:rsidR="00D41B14">
        <w:t>.</w:t>
      </w:r>
      <w:r w:rsidR="00D41B14">
        <w:rPr>
          <w:rStyle w:val="FootnoteReference"/>
        </w:rPr>
        <w:footnoteReference w:id="29"/>
      </w:r>
      <w:r w:rsidR="0055693C">
        <w:t xml:space="preserve">  We further assumed that the offshore wind resources </w:t>
      </w:r>
      <w:r w:rsidR="00257E22">
        <w:t xml:space="preserve">will offer </w:t>
      </w:r>
      <w:r w:rsidR="00F61EC5">
        <w:t>into the FCA at the starting price in the MOPR case</w:t>
      </w:r>
      <w:r w:rsidR="00D24F7C">
        <w:t xml:space="preserve"> (consistent with th</w:t>
      </w:r>
      <w:r w:rsidR="00957222">
        <w:t>e latest ORTP for offshore wind</w:t>
      </w:r>
      <w:r w:rsidR="00D24F7C">
        <w:t>)</w:t>
      </w:r>
      <w:r w:rsidR="00F61EC5">
        <w:t>, and will be price takers in the No MOPR case.</w:t>
      </w:r>
    </w:p>
    <w:p w14:paraId="3F3DA92E" w14:textId="0E682CF4" w:rsidR="005C4A98" w:rsidRDefault="005C4A98" w:rsidP="005C4A98">
      <w:pPr>
        <w:pStyle w:val="rptmainbodyheading4"/>
      </w:pPr>
      <w:r>
        <w:t xml:space="preserve">New Energy Storage </w:t>
      </w:r>
      <w:r w:rsidR="00173650">
        <w:t>and</w:t>
      </w:r>
      <w:r>
        <w:t xml:space="preserve"> Solar Resources</w:t>
      </w:r>
    </w:p>
    <w:p w14:paraId="27355776" w14:textId="6BC8E711" w:rsidR="00691714" w:rsidRPr="00691714" w:rsidRDefault="00691714" w:rsidP="00691714">
      <w:pPr>
        <w:pStyle w:val="rptmainbodytext"/>
      </w:pPr>
      <w:r w:rsidRPr="00691714">
        <w:t xml:space="preserve">Investments in solar and energy storage (“ES”) </w:t>
      </w:r>
      <w:r w:rsidR="00845B6D">
        <w:t xml:space="preserve">resources </w:t>
      </w:r>
      <w:r w:rsidRPr="00691714">
        <w:t>are supported by a variety of state programs</w:t>
      </w:r>
      <w:r w:rsidR="008471EE">
        <w:t xml:space="preserve"> such as </w:t>
      </w:r>
      <w:r w:rsidR="00675BAF">
        <w:t>Renewable Portfolio Standards</w:t>
      </w:r>
      <w:r w:rsidR="008471EE">
        <w:t>,</w:t>
      </w:r>
      <w:r w:rsidRPr="00691714">
        <w:t xml:space="preserve"> storage</w:t>
      </w:r>
      <w:r w:rsidR="008471EE">
        <w:t>-specific</w:t>
      </w:r>
      <w:r w:rsidRPr="00691714">
        <w:t xml:space="preserve"> </w:t>
      </w:r>
      <w:r w:rsidR="008471EE">
        <w:t xml:space="preserve">mandates, and </w:t>
      </w:r>
      <w:r w:rsidRPr="00691714">
        <w:t>Massachusetts</w:t>
      </w:r>
      <w:r w:rsidR="008471EE">
        <w:t>’</w:t>
      </w:r>
      <w:r w:rsidRPr="00691714">
        <w:t xml:space="preserve"> SMART </w:t>
      </w:r>
      <w:r w:rsidR="008471EE">
        <w:t xml:space="preserve">program </w:t>
      </w:r>
      <w:r w:rsidRPr="00691714">
        <w:t>and Clean Peak Standard programs</w:t>
      </w:r>
      <w:r w:rsidR="008471EE">
        <w:t>.</w:t>
      </w:r>
      <w:r w:rsidR="003639A3">
        <w:t xml:space="preserve">  </w:t>
      </w:r>
      <w:r w:rsidR="00EB608E">
        <w:t xml:space="preserve">Like offshore wind </w:t>
      </w:r>
      <w:r w:rsidR="00B84666">
        <w:t xml:space="preserve">programs, </w:t>
      </w:r>
      <w:r w:rsidR="00D621BB">
        <w:t xml:space="preserve">the state targets </w:t>
      </w:r>
      <w:r w:rsidR="00B433B8">
        <w:t xml:space="preserve">for these technologies </w:t>
      </w:r>
      <w:r w:rsidR="00D621BB">
        <w:t xml:space="preserve">have </w:t>
      </w:r>
      <w:r w:rsidR="00217A16">
        <w:t xml:space="preserve">grown in recent years.  However, the </w:t>
      </w:r>
      <w:r w:rsidR="00E142B5">
        <w:t xml:space="preserve">capacity supply from these resources </w:t>
      </w:r>
      <w:r w:rsidR="00262074">
        <w:t xml:space="preserve">at a given time depends on the </w:t>
      </w:r>
      <w:r w:rsidR="00E142B5">
        <w:t xml:space="preserve">technology costs, the </w:t>
      </w:r>
      <w:r w:rsidR="003E64BE">
        <w:t xml:space="preserve">pace of </w:t>
      </w:r>
      <w:r w:rsidR="00333C1E">
        <w:t>development</w:t>
      </w:r>
      <w:r w:rsidR="00CC099B">
        <w:t>,</w:t>
      </w:r>
      <w:r w:rsidR="003372CB">
        <w:t xml:space="preserve"> and the </w:t>
      </w:r>
      <w:r w:rsidR="00A36543">
        <w:t>target quantities</w:t>
      </w:r>
      <w:r w:rsidR="00E142B5">
        <w:t xml:space="preserve">, which are </w:t>
      </w:r>
      <w:r w:rsidR="0099696E">
        <w:t xml:space="preserve">all </w:t>
      </w:r>
      <w:r w:rsidR="00E142B5">
        <w:t>uncertain</w:t>
      </w:r>
      <w:r w:rsidR="00A36543">
        <w:t>.</w:t>
      </w:r>
      <w:r w:rsidR="00F960A9">
        <w:t xml:space="preserve">  </w:t>
      </w:r>
      <w:r w:rsidR="00A73E71">
        <w:t>Indeed</w:t>
      </w:r>
      <w:r w:rsidR="00F960A9">
        <w:t xml:space="preserve">, </w:t>
      </w:r>
      <w:r w:rsidR="007C4C31">
        <w:t xml:space="preserve">the amount of </w:t>
      </w:r>
      <w:r w:rsidR="002E0E86">
        <w:t xml:space="preserve">new </w:t>
      </w:r>
      <w:r w:rsidR="00A73E71">
        <w:t>utility-scale</w:t>
      </w:r>
      <w:r w:rsidR="005F7770">
        <w:t xml:space="preserve"> </w:t>
      </w:r>
      <w:r w:rsidR="007C4C31">
        <w:t xml:space="preserve">solar capacity </w:t>
      </w:r>
      <w:r w:rsidR="00A73E71">
        <w:t>in</w:t>
      </w:r>
      <w:r w:rsidR="005F7770">
        <w:t xml:space="preserve"> 2030 </w:t>
      </w:r>
      <w:r w:rsidR="007C4C31">
        <w:t xml:space="preserve">varies </w:t>
      </w:r>
      <w:r w:rsidR="00520873">
        <w:t xml:space="preserve">from </w:t>
      </w:r>
      <w:r w:rsidR="00253BA8">
        <w:t xml:space="preserve">less than </w:t>
      </w:r>
      <w:r w:rsidR="002E0E86">
        <w:t>2</w:t>
      </w:r>
      <w:r w:rsidR="00253BA8">
        <w:t xml:space="preserve"> GW</w:t>
      </w:r>
      <w:r w:rsidR="00520873">
        <w:t xml:space="preserve"> to </w:t>
      </w:r>
      <w:r w:rsidR="00253BA8">
        <w:t xml:space="preserve">over </w:t>
      </w:r>
      <w:r w:rsidR="002E0E86">
        <w:t>6</w:t>
      </w:r>
      <w:r w:rsidR="00253BA8">
        <w:t xml:space="preserve"> GW</w:t>
      </w:r>
      <w:r w:rsidR="00520873">
        <w:t xml:space="preserve"> </w:t>
      </w:r>
      <w:r w:rsidR="00D8477F">
        <w:t>across</w:t>
      </w:r>
      <w:r w:rsidR="00520873">
        <w:t xml:space="preserve"> the scenario</w:t>
      </w:r>
      <w:r w:rsidR="00D8477F">
        <w:t>s studied in the</w:t>
      </w:r>
      <w:r w:rsidR="00F960A9">
        <w:t xml:space="preserve"> </w:t>
      </w:r>
      <w:r w:rsidR="00665033">
        <w:t xml:space="preserve">Massachusetts’ </w:t>
      </w:r>
      <w:r w:rsidR="00D8477F">
        <w:t>D</w:t>
      </w:r>
      <w:r w:rsidR="00665033">
        <w:t xml:space="preserve">ecarbonization </w:t>
      </w:r>
      <w:r w:rsidR="00D8477F">
        <w:t>Roadmap</w:t>
      </w:r>
      <w:r w:rsidR="00665033">
        <w:t xml:space="preserve"> study</w:t>
      </w:r>
      <w:r w:rsidR="00D8477F">
        <w:t>.</w:t>
      </w:r>
    </w:p>
    <w:p w14:paraId="44690DAD" w14:textId="63DB6BD9" w:rsidR="00691714" w:rsidRPr="00691714" w:rsidRDefault="00691714" w:rsidP="00691714">
      <w:pPr>
        <w:pStyle w:val="rptmainbodytext"/>
      </w:pPr>
      <w:r w:rsidRPr="00691714">
        <w:t xml:space="preserve">We </w:t>
      </w:r>
      <w:r w:rsidR="008B116C">
        <w:t xml:space="preserve">assumed the </w:t>
      </w:r>
      <w:r w:rsidR="00366148">
        <w:t xml:space="preserve">nameplate capacity in 2030 for </w:t>
      </w:r>
      <w:r w:rsidR="008B116C">
        <w:t xml:space="preserve">solar and ES </w:t>
      </w:r>
      <w:r w:rsidR="00366148">
        <w:t>resources</w:t>
      </w:r>
      <w:r w:rsidR="00B3742D">
        <w:t xml:space="preserve"> that are interdependent.</w:t>
      </w:r>
      <w:r w:rsidR="00583245">
        <w:rPr>
          <w:rStyle w:val="FootnoteReference"/>
        </w:rPr>
        <w:footnoteReference w:id="30"/>
      </w:r>
      <w:r w:rsidR="00B3742D">
        <w:t xml:space="preserve">  Specifically, we use</w:t>
      </w:r>
      <w:r w:rsidR="00430FE8">
        <w:t xml:space="preserve"> </w:t>
      </w:r>
      <w:r w:rsidR="00B337A0">
        <w:t xml:space="preserve">the </w:t>
      </w:r>
      <w:r w:rsidR="00DB065D">
        <w:t xml:space="preserve">following </w:t>
      </w:r>
      <w:r w:rsidRPr="00691714">
        <w:t>three solar-target scenarios:</w:t>
      </w:r>
    </w:p>
    <w:p w14:paraId="0D3E8E73" w14:textId="0E3D1CC3" w:rsidR="00691714" w:rsidRPr="00691714" w:rsidRDefault="00691714" w:rsidP="004A71D5">
      <w:pPr>
        <w:pStyle w:val="rptmainbodybullets1"/>
      </w:pPr>
      <w:r w:rsidRPr="000A132A">
        <w:rPr>
          <w:i/>
        </w:rPr>
        <w:t>Mid</w:t>
      </w:r>
      <w:r w:rsidRPr="00691714">
        <w:t xml:space="preserve"> – </w:t>
      </w:r>
      <w:r w:rsidR="00CB47F9">
        <w:t xml:space="preserve">In this scenario, </w:t>
      </w:r>
      <w:r w:rsidR="00780C8B">
        <w:t xml:space="preserve">the subsidized </w:t>
      </w:r>
      <w:r w:rsidR="00CB47F9">
        <w:t>s</w:t>
      </w:r>
      <w:r w:rsidR="00CB47F9" w:rsidRPr="00691714">
        <w:t xml:space="preserve">olar </w:t>
      </w:r>
      <w:r w:rsidR="00872BA8">
        <w:t>capacity is based</w:t>
      </w:r>
      <w:r w:rsidRPr="00691714">
        <w:t xml:space="preserve"> on </w:t>
      </w:r>
      <w:r w:rsidR="00CB47F9">
        <w:t xml:space="preserve">the </w:t>
      </w:r>
      <w:r w:rsidRPr="00691714">
        <w:t>SMART program</w:t>
      </w:r>
      <w:r w:rsidR="00012C46">
        <w:t xml:space="preserve"> target</w:t>
      </w:r>
      <w:r w:rsidR="00390E60">
        <w:t xml:space="preserve"> for 2030</w:t>
      </w:r>
      <w:r w:rsidR="00EE2687">
        <w:t>.</w:t>
      </w:r>
      <w:r w:rsidRPr="00691714">
        <w:t xml:space="preserve"> </w:t>
      </w:r>
    </w:p>
    <w:p w14:paraId="374C6AA1" w14:textId="3B57C790" w:rsidR="00CB47F9" w:rsidRDefault="00CB47F9" w:rsidP="00CB47F9">
      <w:pPr>
        <w:pStyle w:val="rptmainbodybullets1"/>
      </w:pPr>
      <w:r w:rsidRPr="006C15FA">
        <w:rPr>
          <w:i/>
        </w:rPr>
        <w:t>Low</w:t>
      </w:r>
      <w:r w:rsidRPr="00691714">
        <w:t xml:space="preserve"> – </w:t>
      </w:r>
      <w:r w:rsidR="00364DCD">
        <w:t xml:space="preserve">The target for </w:t>
      </w:r>
      <w:r w:rsidR="0083607C">
        <w:t>s</w:t>
      </w:r>
      <w:r w:rsidRPr="00691714">
        <w:t xml:space="preserve">olar capacity </w:t>
      </w:r>
      <w:r>
        <w:t xml:space="preserve">in this scenario is </w:t>
      </w:r>
      <w:r w:rsidRPr="00691714">
        <w:t xml:space="preserve">based on </w:t>
      </w:r>
      <w:r>
        <w:t xml:space="preserve">the </w:t>
      </w:r>
      <w:r w:rsidRPr="00691714">
        <w:t xml:space="preserve">2021 CELT </w:t>
      </w:r>
      <w:r>
        <w:t xml:space="preserve">report </w:t>
      </w:r>
      <w:r w:rsidRPr="00691714">
        <w:t>forecast of FCM-PV</w:t>
      </w:r>
      <w:r>
        <w:t>.</w:t>
      </w:r>
      <w:r w:rsidRPr="00691714">
        <w:t xml:space="preserve"> </w:t>
      </w:r>
      <w:r>
        <w:t xml:space="preserve"> </w:t>
      </w:r>
    </w:p>
    <w:p w14:paraId="71432626" w14:textId="23DEE1D8" w:rsidR="00CB47F9" w:rsidRDefault="00CB47F9" w:rsidP="004A71D5">
      <w:pPr>
        <w:pStyle w:val="rptmainbodybullets1"/>
      </w:pPr>
      <w:r w:rsidRPr="00CB47F9">
        <w:rPr>
          <w:i/>
          <w:iCs/>
        </w:rPr>
        <w:t>High</w:t>
      </w:r>
      <w:r w:rsidRPr="00691714">
        <w:t xml:space="preserve"> – </w:t>
      </w:r>
      <w:r w:rsidR="00975E31">
        <w:t xml:space="preserve">The target for </w:t>
      </w:r>
      <w:r w:rsidR="0083607C">
        <w:t>s</w:t>
      </w:r>
      <w:r w:rsidRPr="00691714">
        <w:t>olar capacity</w:t>
      </w:r>
      <w:r>
        <w:t xml:space="preserve"> in this scenario is </w:t>
      </w:r>
      <w:r w:rsidRPr="00691714">
        <w:t xml:space="preserve">based on </w:t>
      </w:r>
      <w:r>
        <w:t>the deployment by 2030 in the ‘100 percent renewable primary’ case</w:t>
      </w:r>
      <w:r w:rsidRPr="00691714">
        <w:t xml:space="preserve"> </w:t>
      </w:r>
      <w:r>
        <w:t xml:space="preserve">of the </w:t>
      </w:r>
      <w:r w:rsidRPr="00691714">
        <w:t>MA Pathways study</w:t>
      </w:r>
      <w:r>
        <w:t>.</w:t>
      </w:r>
      <w:r w:rsidRPr="00691714">
        <w:t xml:space="preserve">  </w:t>
      </w:r>
    </w:p>
    <w:p w14:paraId="3764B9C7" w14:textId="2FD74C47" w:rsidR="00430FE8" w:rsidRPr="00691714" w:rsidRDefault="00C71BDC" w:rsidP="00430FE8">
      <w:pPr>
        <w:pStyle w:val="rptmainbodytext"/>
      </w:pPr>
      <w:r>
        <w:t>W</w:t>
      </w:r>
      <w:r w:rsidR="00430FE8">
        <w:t xml:space="preserve">e use the following </w:t>
      </w:r>
      <w:r w:rsidR="00430FE8" w:rsidRPr="00691714">
        <w:t>three storage-target scenarios:</w:t>
      </w:r>
      <w:r w:rsidR="00430FE8" w:rsidRPr="00164DD0">
        <w:rPr>
          <w:rStyle w:val="FootnoteReference"/>
        </w:rPr>
        <w:t xml:space="preserve"> </w:t>
      </w:r>
    </w:p>
    <w:p w14:paraId="2E37DEF6" w14:textId="3C11F4CD" w:rsidR="00430FE8" w:rsidRPr="00691714" w:rsidRDefault="00430FE8" w:rsidP="00430FE8">
      <w:pPr>
        <w:pStyle w:val="rptmainbodybullets1"/>
      </w:pPr>
      <w:r w:rsidRPr="000A132A">
        <w:rPr>
          <w:i/>
        </w:rPr>
        <w:t>Mid</w:t>
      </w:r>
      <w:r w:rsidRPr="00691714">
        <w:t xml:space="preserve"> –</w:t>
      </w:r>
      <w:r w:rsidR="00C71BDC">
        <w:t xml:space="preserve"> </w:t>
      </w:r>
      <w:r>
        <w:t xml:space="preserve">The </w:t>
      </w:r>
      <w:r w:rsidRPr="00691714">
        <w:t xml:space="preserve">capacity </w:t>
      </w:r>
      <w:r>
        <w:t xml:space="preserve">target for subsidized </w:t>
      </w:r>
      <w:r w:rsidRPr="00691714">
        <w:t xml:space="preserve">ES </w:t>
      </w:r>
      <w:r>
        <w:t xml:space="preserve">resources is </w:t>
      </w:r>
      <w:r w:rsidRPr="00691714">
        <w:t xml:space="preserve">based on existing </w:t>
      </w:r>
      <w:r>
        <w:t xml:space="preserve">storage-specific </w:t>
      </w:r>
      <w:r w:rsidRPr="00691714">
        <w:t xml:space="preserve">state targets, </w:t>
      </w:r>
      <w:r>
        <w:t xml:space="preserve">and the estimated capacity that will be supported through </w:t>
      </w:r>
      <w:r w:rsidRPr="00691714">
        <w:t>SMART and Clean Peak programs</w:t>
      </w:r>
      <w:r>
        <w:t>.</w:t>
      </w:r>
    </w:p>
    <w:p w14:paraId="30714AC6" w14:textId="2897C5CD" w:rsidR="00430FE8" w:rsidRDefault="00430FE8" w:rsidP="00430FE8">
      <w:pPr>
        <w:pStyle w:val="rptmainbodybullets1"/>
      </w:pPr>
      <w:r w:rsidRPr="006C15FA">
        <w:rPr>
          <w:i/>
        </w:rPr>
        <w:t>Low</w:t>
      </w:r>
      <w:r w:rsidRPr="00691714">
        <w:t xml:space="preserve"> – </w:t>
      </w:r>
      <w:r w:rsidR="001D28CC">
        <w:t>A</w:t>
      </w:r>
      <w:r>
        <w:t>ssume</w:t>
      </w:r>
      <w:r w:rsidR="001D28CC">
        <w:t>s</w:t>
      </w:r>
      <w:r w:rsidRPr="00691714">
        <w:t xml:space="preserve"> a 50</w:t>
      </w:r>
      <w:r w:rsidR="001D28CC">
        <w:t xml:space="preserve"> percent</w:t>
      </w:r>
      <w:r w:rsidRPr="00691714">
        <w:t xml:space="preserve"> shortfall in attaining </w:t>
      </w:r>
      <w:r w:rsidR="00D94552">
        <w:t xml:space="preserve">ES </w:t>
      </w:r>
      <w:r w:rsidRPr="00691714">
        <w:t>Mid-target</w:t>
      </w:r>
      <w:r>
        <w:t>.</w:t>
      </w:r>
    </w:p>
    <w:p w14:paraId="054E6BBE" w14:textId="4C469EBF" w:rsidR="00430FE8" w:rsidRDefault="00430FE8" w:rsidP="00430FE8">
      <w:pPr>
        <w:pStyle w:val="rptmainbodybullets1"/>
      </w:pPr>
      <w:r w:rsidRPr="00CB47F9">
        <w:rPr>
          <w:i/>
          <w:iCs/>
        </w:rPr>
        <w:t>High</w:t>
      </w:r>
      <w:r w:rsidRPr="00691714">
        <w:t xml:space="preserve"> – </w:t>
      </w:r>
      <w:r>
        <w:t xml:space="preserve">The </w:t>
      </w:r>
      <w:r w:rsidR="00F80710">
        <w:t xml:space="preserve">total </w:t>
      </w:r>
      <w:r w:rsidRPr="00691714">
        <w:t xml:space="preserve">ES </w:t>
      </w:r>
      <w:r w:rsidR="00F80710">
        <w:t>resource</w:t>
      </w:r>
      <w:r w:rsidR="008D38B2">
        <w:t>s</w:t>
      </w:r>
      <w:r w:rsidR="00F80710">
        <w:t xml:space="preserve"> </w:t>
      </w:r>
      <w:r w:rsidR="00B50553">
        <w:t xml:space="preserve">across all the states </w:t>
      </w:r>
      <w:r>
        <w:t>w</w:t>
      </w:r>
      <w:r w:rsidR="00274A95">
        <w:t>ill</w:t>
      </w:r>
      <w:r>
        <w:t xml:space="preserve"> </w:t>
      </w:r>
      <w:r w:rsidR="008D38B2">
        <w:t xml:space="preserve">be </w:t>
      </w:r>
      <w:r w:rsidRPr="00691714">
        <w:t xml:space="preserve">150 MW storage per 1 GW </w:t>
      </w:r>
      <w:r w:rsidR="00B50553">
        <w:t xml:space="preserve">of ISO-wide </w:t>
      </w:r>
      <w:r w:rsidRPr="00691714">
        <w:t>peak load</w:t>
      </w:r>
      <w:r w:rsidR="004A4372">
        <w:t>.</w:t>
      </w:r>
    </w:p>
    <w:p w14:paraId="664B5EA6" w14:textId="0C95BED2" w:rsidR="00FB3EEC" w:rsidRDefault="00DD7C10" w:rsidP="00691714">
      <w:pPr>
        <w:pStyle w:val="rptmainbodytext"/>
      </w:pPr>
      <w:r>
        <w:rPr>
          <w:i/>
        </w:rPr>
        <w:lastRenderedPageBreak/>
        <w:fldChar w:fldCharType="begin"/>
      </w:r>
      <w:r>
        <w:rPr>
          <w:i/>
        </w:rPr>
        <w:instrText xml:space="preserve"> REF _Ref86064971 \h </w:instrText>
      </w:r>
      <w:r>
        <w:rPr>
          <w:i/>
        </w:rPr>
      </w:r>
      <w:r>
        <w:rPr>
          <w:i/>
        </w:rPr>
        <w:fldChar w:fldCharType="separate"/>
      </w:r>
      <w:r>
        <w:t xml:space="preserve">Figure </w:t>
      </w:r>
      <w:r>
        <w:rPr>
          <w:noProof/>
        </w:rPr>
        <w:t>9</w:t>
      </w:r>
      <w:r>
        <w:rPr>
          <w:i/>
        </w:rPr>
        <w:fldChar w:fldCharType="end"/>
      </w:r>
      <w:r>
        <w:rPr>
          <w:i/>
        </w:rPr>
        <w:t xml:space="preserve"> </w:t>
      </w:r>
      <w:r w:rsidR="00FB3EEC">
        <w:t>shows the</w:t>
      </w:r>
      <w:r w:rsidR="00060635">
        <w:t xml:space="preserve"> target</w:t>
      </w:r>
      <w:r w:rsidR="00FB3EEC">
        <w:t xml:space="preserve"> </w:t>
      </w:r>
      <w:r w:rsidR="00A10AD2">
        <w:t xml:space="preserve">capacities </w:t>
      </w:r>
      <w:r w:rsidR="00060635">
        <w:t xml:space="preserve">(nameplate) </w:t>
      </w:r>
      <w:r w:rsidR="00A10AD2">
        <w:t xml:space="preserve">for </w:t>
      </w:r>
      <w:r w:rsidR="000827D4">
        <w:t>the thr</w:t>
      </w:r>
      <w:r w:rsidR="000A6E34">
        <w:t>e</w:t>
      </w:r>
      <w:r w:rsidR="000827D4">
        <w:t xml:space="preserve">e </w:t>
      </w:r>
      <w:r w:rsidR="00A10AD2">
        <w:t>solar</w:t>
      </w:r>
      <w:r w:rsidR="000827D4">
        <w:t xml:space="preserve"> scenarios </w:t>
      </w:r>
      <w:r w:rsidR="00A10AD2">
        <w:t xml:space="preserve">and </w:t>
      </w:r>
      <w:r w:rsidR="000827D4">
        <w:t xml:space="preserve">the three </w:t>
      </w:r>
      <w:r w:rsidR="00A10AD2">
        <w:t>ES resources scenarios.</w:t>
      </w:r>
    </w:p>
    <w:p w14:paraId="5C299BDA" w14:textId="2ECC6E4F" w:rsidR="00A10AD2" w:rsidRDefault="00A05244">
      <w:pPr>
        <w:pStyle w:val="rptmainbodyfiguretitle1"/>
      </w:pPr>
      <w:bookmarkStart w:id="936" w:name="_Ref86064971"/>
      <w:bookmarkStart w:id="937" w:name="_Toc86727538"/>
      <w:r>
        <w:t xml:space="preserve">Figure </w:t>
      </w:r>
      <w:r>
        <w:fldChar w:fldCharType="begin"/>
      </w:r>
      <w:r>
        <w:instrText>SEQ Figure \* ARABIC</w:instrText>
      </w:r>
      <w:r>
        <w:fldChar w:fldCharType="separate"/>
      </w:r>
      <w:r w:rsidR="00401666">
        <w:rPr>
          <w:noProof/>
        </w:rPr>
        <w:t>9</w:t>
      </w:r>
      <w:r>
        <w:fldChar w:fldCharType="end"/>
      </w:r>
      <w:bookmarkEnd w:id="936"/>
      <w:r w:rsidR="00DD7C10">
        <w:t>: Targets for Solar and Storage Resources (nameplate capacity)</w:t>
      </w:r>
      <w:bookmarkEnd w:id="937"/>
    </w:p>
    <w:p w14:paraId="3F1F5359" w14:textId="5043ADA9" w:rsidR="00A10AD2" w:rsidRDefault="00A10AD2" w:rsidP="006C15FA">
      <w:pPr>
        <w:pStyle w:val="rptmainbodyfigure"/>
      </w:pPr>
      <w:r w:rsidRPr="00A10AD2">
        <w:drawing>
          <wp:inline distT="0" distB="0" distL="0" distR="0" wp14:anchorId="4F6A1A77" wp14:editId="233663E3">
            <wp:extent cx="5486400" cy="3195710"/>
            <wp:effectExtent l="0" t="0" r="0" b="5080"/>
            <wp:docPr id="17" name="Picture 3">
              <a:extLst xmlns:a="http://schemas.openxmlformats.org/drawingml/2006/main">
                <a:ext uri="{FF2B5EF4-FFF2-40B4-BE49-F238E27FC236}">
                  <a16:creationId xmlns:a16="http://schemas.microsoft.com/office/drawing/2014/main" id="{3051CB73-220C-4B94-86D2-2BD658861134}"/>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Picture 3">
                      <a:extLst>
                        <a:ext uri="{FF2B5EF4-FFF2-40B4-BE49-F238E27FC236}">
                          <a16:creationId xmlns:a16="http://schemas.microsoft.com/office/drawing/2014/main" id="{3051CB73-220C-4B94-86D2-2BD658861134}"/>
                        </a:ext>
                      </a:extLst>
                    </pic:cNvPr>
                    <pic:cNvPicPr>
                      <a:picLocks noChangeAspect="1"/>
                    </pic:cNvPicPr>
                  </pic:nvPicPr>
                  <pic:blipFill rotWithShape="1">
                    <a:blip r:embed="rId39"/>
                    <a:srcRect l="2999" t="2653" r="2051" b="21123"/>
                    <a:stretch/>
                  </pic:blipFill>
                  <pic:spPr>
                    <a:xfrm>
                      <a:off x="0" y="0"/>
                      <a:ext cx="5486400" cy="3195710"/>
                    </a:xfrm>
                    <a:prstGeom prst="rect">
                      <a:avLst/>
                    </a:prstGeom>
                  </pic:spPr>
                </pic:pic>
              </a:graphicData>
            </a:graphic>
          </wp:inline>
        </w:drawing>
      </w:r>
    </w:p>
    <w:p w14:paraId="1B39DA9C" w14:textId="377334C4" w:rsidR="00B369FC" w:rsidRPr="00B369FC" w:rsidRDefault="00E21D38" w:rsidP="00413EB1">
      <w:pPr>
        <w:pStyle w:val="rptmainbodytext"/>
      </w:pPr>
      <w:r>
        <w:t xml:space="preserve">Solar and </w:t>
      </w:r>
      <w:r w:rsidR="0017525B">
        <w:t xml:space="preserve">ES </w:t>
      </w:r>
      <w:r w:rsidR="0077131F">
        <w:t xml:space="preserve">resources </w:t>
      </w:r>
      <w:r w:rsidRPr="00B369FC">
        <w:t xml:space="preserve">can have greater </w:t>
      </w:r>
      <w:r>
        <w:t xml:space="preserve">capacity </w:t>
      </w:r>
      <w:r w:rsidRPr="00B369FC">
        <w:t xml:space="preserve">value </w:t>
      </w:r>
      <w:r w:rsidR="00543110">
        <w:t xml:space="preserve">(quantified </w:t>
      </w:r>
      <w:r w:rsidR="000F49C8">
        <w:t>using</w:t>
      </w:r>
      <w:r w:rsidR="00543110">
        <w:t xml:space="preserve"> ELCC</w:t>
      </w:r>
      <w:r w:rsidR="000F49C8">
        <w:t xml:space="preserve"> methods</w:t>
      </w:r>
      <w:r w:rsidR="00543110">
        <w:t xml:space="preserve">) </w:t>
      </w:r>
      <w:r w:rsidRPr="00B369FC">
        <w:t>in combination than individually</w:t>
      </w:r>
      <w:r>
        <w:t xml:space="preserve">. </w:t>
      </w:r>
      <w:r w:rsidRPr="00B369FC">
        <w:t xml:space="preserve"> </w:t>
      </w:r>
      <w:r>
        <w:t>Hence, w</w:t>
      </w:r>
      <w:r w:rsidR="00B369FC" w:rsidRPr="00B369FC">
        <w:t xml:space="preserve">e considered synergies between </w:t>
      </w:r>
      <w:r w:rsidR="0017525B">
        <w:t>ES</w:t>
      </w:r>
      <w:r w:rsidR="0017525B" w:rsidRPr="00B369FC">
        <w:t xml:space="preserve"> </w:t>
      </w:r>
      <w:r w:rsidR="00B369FC" w:rsidRPr="00B369FC">
        <w:t xml:space="preserve">and solar </w:t>
      </w:r>
      <w:r w:rsidR="00FB344E">
        <w:t xml:space="preserve">penetration </w:t>
      </w:r>
      <w:r w:rsidR="00B369FC" w:rsidRPr="00B369FC">
        <w:t xml:space="preserve">in </w:t>
      </w:r>
      <w:r w:rsidR="00DE494F">
        <w:t>translating</w:t>
      </w:r>
      <w:r w:rsidR="00B369FC" w:rsidRPr="00B369FC">
        <w:t xml:space="preserve"> the </w:t>
      </w:r>
      <w:r w:rsidR="00DE494F">
        <w:t xml:space="preserve">target </w:t>
      </w:r>
      <w:r w:rsidR="00060635">
        <w:t xml:space="preserve">capacities </w:t>
      </w:r>
      <w:r w:rsidR="00DE494F">
        <w:t>into</w:t>
      </w:r>
      <w:r w:rsidR="00B369FC" w:rsidRPr="00B369FC">
        <w:t xml:space="preserve"> </w:t>
      </w:r>
      <w:r w:rsidR="00696C81">
        <w:t xml:space="preserve">qualified </w:t>
      </w:r>
      <w:r w:rsidR="005111AA">
        <w:t xml:space="preserve">capacity </w:t>
      </w:r>
      <w:r w:rsidR="00B369FC" w:rsidRPr="00B369FC">
        <w:t>from these resources</w:t>
      </w:r>
      <w:r>
        <w:t xml:space="preserve">.  </w:t>
      </w:r>
      <w:r w:rsidR="00F6026D">
        <w:t xml:space="preserve">We developed ELCC values for solar and storage resources in the above scenarios using data from </w:t>
      </w:r>
      <w:r w:rsidR="00F77239">
        <w:t xml:space="preserve">several </w:t>
      </w:r>
      <w:r w:rsidR="006C6372">
        <w:t xml:space="preserve">regional </w:t>
      </w:r>
      <w:r w:rsidR="00F77239">
        <w:t>studies</w:t>
      </w:r>
      <w:r w:rsidR="00142088">
        <w:t>.</w:t>
      </w:r>
      <w:r w:rsidR="0000113F">
        <w:rPr>
          <w:rStyle w:val="FootnoteReference"/>
        </w:rPr>
        <w:footnoteReference w:id="31"/>
      </w:r>
    </w:p>
    <w:p w14:paraId="38FF9158" w14:textId="07E94CD0" w:rsidR="00F81A01" w:rsidRDefault="00DD7C10" w:rsidP="00B77108">
      <w:pPr>
        <w:pStyle w:val="rptmainbodytext"/>
      </w:pPr>
      <w:r>
        <w:fldChar w:fldCharType="begin"/>
      </w:r>
      <w:r>
        <w:instrText xml:space="preserve"> REF _Ref86065000 \h </w:instrText>
      </w:r>
      <w:r>
        <w:fldChar w:fldCharType="separate"/>
      </w:r>
      <w:r>
        <w:t xml:space="preserve">Figure </w:t>
      </w:r>
      <w:r>
        <w:rPr>
          <w:noProof/>
        </w:rPr>
        <w:t>10</w:t>
      </w:r>
      <w:r>
        <w:fldChar w:fldCharType="end"/>
      </w:r>
      <w:r>
        <w:t xml:space="preserve"> </w:t>
      </w:r>
      <w:r w:rsidR="00F81A01">
        <w:t xml:space="preserve">shows </w:t>
      </w:r>
      <w:r w:rsidR="0071248A">
        <w:t xml:space="preserve">for each scenario, </w:t>
      </w:r>
      <w:r w:rsidR="00F81A01">
        <w:t xml:space="preserve">the total </w:t>
      </w:r>
      <w:r w:rsidR="007B1D46">
        <w:t xml:space="preserve">subsidized </w:t>
      </w:r>
      <w:r w:rsidR="00F81A01">
        <w:t xml:space="preserve">capacity </w:t>
      </w:r>
      <w:r w:rsidR="001E4761">
        <w:t xml:space="preserve">from solar and </w:t>
      </w:r>
      <w:r w:rsidR="00DF73B0">
        <w:t xml:space="preserve">ES </w:t>
      </w:r>
      <w:r w:rsidR="001E4761">
        <w:t xml:space="preserve">resources that </w:t>
      </w:r>
      <w:r w:rsidR="0071248A">
        <w:t>would be sold in the FCM.</w:t>
      </w:r>
    </w:p>
    <w:p w14:paraId="527E7660" w14:textId="62B07FDA" w:rsidR="00F81A01" w:rsidRDefault="00A05244">
      <w:pPr>
        <w:pStyle w:val="rptmainbodyfiguretitle1"/>
      </w:pPr>
      <w:bookmarkStart w:id="938" w:name="_Ref86065000"/>
      <w:bookmarkStart w:id="939" w:name="_Toc86727539"/>
      <w:r>
        <w:lastRenderedPageBreak/>
        <w:t xml:space="preserve">Figure </w:t>
      </w:r>
      <w:r>
        <w:fldChar w:fldCharType="begin"/>
      </w:r>
      <w:r>
        <w:instrText>SEQ Figure \* ARABIC</w:instrText>
      </w:r>
      <w:r>
        <w:fldChar w:fldCharType="separate"/>
      </w:r>
      <w:r w:rsidR="00401666">
        <w:rPr>
          <w:noProof/>
        </w:rPr>
        <w:t>10</w:t>
      </w:r>
      <w:r>
        <w:fldChar w:fldCharType="end"/>
      </w:r>
      <w:bookmarkEnd w:id="938"/>
      <w:r w:rsidR="00DD7C10">
        <w:t>: Qualified Capacity</w:t>
      </w:r>
      <w:r w:rsidR="00DD7C10" w:rsidRPr="007E1528">
        <w:t xml:space="preserve"> from </w:t>
      </w:r>
      <w:r w:rsidR="00DD7C10">
        <w:t xml:space="preserve">Subsidized </w:t>
      </w:r>
      <w:r w:rsidR="00DD7C10" w:rsidRPr="007E1528">
        <w:t>Energy Storage and Solar Resources</w:t>
      </w:r>
      <w:bookmarkEnd w:id="939"/>
    </w:p>
    <w:p w14:paraId="5592D520" w14:textId="294CC2B3" w:rsidR="00F81A01" w:rsidRDefault="00F81A01" w:rsidP="006C15FA">
      <w:pPr>
        <w:pStyle w:val="rptmainbodyfigure"/>
      </w:pPr>
      <w:r w:rsidRPr="00F81A01">
        <w:drawing>
          <wp:inline distT="0" distB="0" distL="0" distR="0" wp14:anchorId="00D6059A" wp14:editId="1BED7669">
            <wp:extent cx="5943600" cy="3308350"/>
            <wp:effectExtent l="0" t="0" r="0" b="6350"/>
            <wp:docPr id="29" name="Picture 4">
              <a:extLst xmlns:a="http://schemas.openxmlformats.org/drawingml/2006/main">
                <a:ext uri="{FF2B5EF4-FFF2-40B4-BE49-F238E27FC236}">
                  <a16:creationId xmlns:a16="http://schemas.microsoft.com/office/drawing/2014/main" id="{901DEFAE-398D-4697-91ED-582B25D26820}"/>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Picture 4">
                      <a:extLst>
                        <a:ext uri="{FF2B5EF4-FFF2-40B4-BE49-F238E27FC236}">
                          <a16:creationId xmlns:a16="http://schemas.microsoft.com/office/drawing/2014/main" id="{901DEFAE-398D-4697-91ED-582B25D26820}"/>
                        </a:ext>
                      </a:extLst>
                    </pic:cNvPr>
                    <pic:cNvPicPr>
                      <a:picLocks noChangeAspect="1"/>
                    </pic:cNvPicPr>
                  </pic:nvPicPr>
                  <pic:blipFill rotWithShape="1">
                    <a:blip r:embed="rId40"/>
                    <a:srcRect b="23359"/>
                    <a:stretch/>
                  </pic:blipFill>
                  <pic:spPr>
                    <a:xfrm>
                      <a:off x="0" y="0"/>
                      <a:ext cx="5943600" cy="3308350"/>
                    </a:xfrm>
                    <a:prstGeom prst="rect">
                      <a:avLst/>
                    </a:prstGeom>
                  </pic:spPr>
                </pic:pic>
              </a:graphicData>
            </a:graphic>
          </wp:inline>
        </w:drawing>
      </w:r>
    </w:p>
    <w:p w14:paraId="24DADB9F" w14:textId="1BB25FDF" w:rsidR="00B77108" w:rsidRPr="00B77108" w:rsidRDefault="001A603A" w:rsidP="00B77108">
      <w:pPr>
        <w:pStyle w:val="rptmainbodytext"/>
      </w:pPr>
      <w:r>
        <w:t>For</w:t>
      </w:r>
      <w:r w:rsidR="008B12FD">
        <w:t xml:space="preserve"> determining </w:t>
      </w:r>
      <w:r w:rsidR="00512449">
        <w:t xml:space="preserve">the </w:t>
      </w:r>
      <w:r w:rsidR="008B12FD">
        <w:t xml:space="preserve">solar </w:t>
      </w:r>
      <w:r w:rsidR="00512449">
        <w:t xml:space="preserve">target </w:t>
      </w:r>
      <w:r w:rsidR="008B12FD">
        <w:t xml:space="preserve">capacity in </w:t>
      </w:r>
      <w:r w:rsidR="00933B86">
        <w:t xml:space="preserve">each </w:t>
      </w:r>
      <w:r w:rsidR="008B12FD">
        <w:t xml:space="preserve">Monte Carlo realization, </w:t>
      </w:r>
      <w:r w:rsidR="00933B86">
        <w:t>w</w:t>
      </w:r>
      <w:r w:rsidR="00933B86" w:rsidRPr="0010069B">
        <w:t xml:space="preserve">e </w:t>
      </w:r>
      <w:r w:rsidR="0010069B" w:rsidRPr="0010069B">
        <w:t>assumed equal weighting of the three</w:t>
      </w:r>
      <w:r w:rsidR="001F7C6F">
        <w:t xml:space="preserve"> solar</w:t>
      </w:r>
      <w:r w:rsidR="0010069B" w:rsidRPr="0010069B">
        <w:t xml:space="preserve"> scenarios </w:t>
      </w:r>
      <w:r w:rsidR="00D801F1">
        <w:t>described above</w:t>
      </w:r>
      <w:r w:rsidR="0010069B" w:rsidRPr="0010069B">
        <w:t>.</w:t>
      </w:r>
      <w:r w:rsidR="00D801F1">
        <w:t xml:space="preserve">  </w:t>
      </w:r>
      <w:r w:rsidR="003A3E39">
        <w:t xml:space="preserve">Our </w:t>
      </w:r>
      <w:r w:rsidR="000C1F8A">
        <w:t xml:space="preserve">assumed </w:t>
      </w:r>
      <w:r w:rsidR="003A3E39">
        <w:t xml:space="preserve">probability </w:t>
      </w:r>
      <w:r w:rsidR="009858FA">
        <w:t xml:space="preserve">weighting of the </w:t>
      </w:r>
      <w:r w:rsidR="009A218B">
        <w:t xml:space="preserve">ES scenarios </w:t>
      </w:r>
      <w:r w:rsidR="000C1F8A">
        <w:t xml:space="preserve">depends on the cost of the </w:t>
      </w:r>
      <w:r w:rsidR="00575F4A">
        <w:t>batteries</w:t>
      </w:r>
      <w:r w:rsidR="004261A8">
        <w:t>, which we treat as a stochastic variable in our model</w:t>
      </w:r>
      <w:r w:rsidR="000C1F8A">
        <w:t xml:space="preserve">.  </w:t>
      </w:r>
      <w:r w:rsidR="003A3E39">
        <w:t xml:space="preserve">We assumed that the </w:t>
      </w:r>
      <w:r w:rsidR="00D43BE9" w:rsidRPr="00B77108">
        <w:t xml:space="preserve">probability </w:t>
      </w:r>
      <w:r w:rsidR="00D43BE9">
        <w:t xml:space="preserve">of higher </w:t>
      </w:r>
      <w:r w:rsidR="003A3E39">
        <w:t>ES</w:t>
      </w:r>
      <w:r w:rsidR="003A3E39" w:rsidRPr="00B77108">
        <w:t xml:space="preserve"> </w:t>
      </w:r>
      <w:r w:rsidR="003A3E39">
        <w:t xml:space="preserve">quantity </w:t>
      </w:r>
      <w:r w:rsidR="003A3E39" w:rsidRPr="00B77108">
        <w:t>target</w:t>
      </w:r>
      <w:r w:rsidR="00D43BE9">
        <w:t>s</w:t>
      </w:r>
      <w:r w:rsidR="003A3E39" w:rsidRPr="00B77108">
        <w:t xml:space="preserve"> is inversely correlated to storage costs</w:t>
      </w:r>
      <w:r w:rsidR="00D43BE9">
        <w:t xml:space="preserve">.  </w:t>
      </w:r>
      <w:r w:rsidR="00B77108" w:rsidRPr="00B77108">
        <w:t xml:space="preserve">Battery costs </w:t>
      </w:r>
      <w:r w:rsidR="00B85009">
        <w:t xml:space="preserve">in 2030 </w:t>
      </w:r>
      <w:r w:rsidR="00B77108" w:rsidRPr="00B77108">
        <w:t xml:space="preserve">are assumed to be a uniform distribution bounded by </w:t>
      </w:r>
      <w:r w:rsidR="00B77108" w:rsidRPr="006C15FA">
        <w:rPr>
          <w:i/>
          <w:iCs/>
        </w:rPr>
        <w:t>Conservative</w:t>
      </w:r>
      <w:r w:rsidR="00B77108" w:rsidRPr="00B77108">
        <w:t xml:space="preserve"> and </w:t>
      </w:r>
      <w:r w:rsidR="00B77108" w:rsidRPr="006C15FA">
        <w:rPr>
          <w:i/>
          <w:iCs/>
        </w:rPr>
        <w:t>Advanced</w:t>
      </w:r>
      <w:r w:rsidR="00B77108" w:rsidRPr="00B77108">
        <w:t xml:space="preserve"> cases published by NREL</w:t>
      </w:r>
      <w:r w:rsidR="00320E94">
        <w:t xml:space="preserve"> (see</w:t>
      </w:r>
      <w:r w:rsidR="00DD7C10">
        <w:t xml:space="preserve"> </w:t>
      </w:r>
      <w:r w:rsidR="00DD7C10">
        <w:fldChar w:fldCharType="begin"/>
      </w:r>
      <w:r w:rsidR="00DD7C10">
        <w:instrText xml:space="preserve"> REF _Ref86065015 \h </w:instrText>
      </w:r>
      <w:r w:rsidR="00DD7C10">
        <w:fldChar w:fldCharType="separate"/>
      </w:r>
      <w:r w:rsidR="00DD7C10">
        <w:t xml:space="preserve">Figure </w:t>
      </w:r>
      <w:r w:rsidR="00DD7C10">
        <w:rPr>
          <w:noProof/>
        </w:rPr>
        <w:t>11</w:t>
      </w:r>
      <w:r w:rsidR="00DD7C10">
        <w:fldChar w:fldCharType="end"/>
      </w:r>
      <w:r w:rsidR="00320E94">
        <w:t>)</w:t>
      </w:r>
      <w:r w:rsidR="008621AD">
        <w:t>.  Ultimately, we assumed that:</w:t>
      </w:r>
    </w:p>
    <w:p w14:paraId="7B28188F" w14:textId="20B5E08A" w:rsidR="00B77108" w:rsidRPr="00B77108" w:rsidRDefault="00B77108" w:rsidP="00D212EA">
      <w:pPr>
        <w:pStyle w:val="rptmainbodybullets1"/>
        <w:spacing w:before="120"/>
      </w:pPr>
      <w:r w:rsidRPr="00B77108">
        <w:t xml:space="preserve">If </w:t>
      </w:r>
      <w:r w:rsidR="00B310BD">
        <w:t>the battery</w:t>
      </w:r>
      <w:r w:rsidRPr="00B77108">
        <w:t xml:space="preserve"> cost</w:t>
      </w:r>
      <w:r w:rsidR="00B310BD">
        <w:t>s</w:t>
      </w:r>
      <w:r w:rsidRPr="00B77108">
        <w:t xml:space="preserve"> </w:t>
      </w:r>
      <w:r w:rsidR="001E69C2">
        <w:t>are</w:t>
      </w:r>
      <w:r w:rsidR="00B310BD">
        <w:t xml:space="preserve"> in the </w:t>
      </w:r>
      <w:r w:rsidR="002069A8">
        <w:t xml:space="preserve">top </w:t>
      </w:r>
      <w:r w:rsidR="00265D8D">
        <w:t>third</w:t>
      </w:r>
      <w:r w:rsidR="002069A8">
        <w:t xml:space="preserve"> of the distribution</w:t>
      </w:r>
      <w:r w:rsidR="001E69C2">
        <w:t xml:space="preserve"> (i.e., costs are</w:t>
      </w:r>
      <w:r w:rsidR="001E69C2" w:rsidRPr="00B77108">
        <w:t xml:space="preserve"> high</w:t>
      </w:r>
      <w:r w:rsidRPr="00B77108">
        <w:t>)</w:t>
      </w:r>
      <w:r w:rsidR="002069A8">
        <w:t>,</w:t>
      </w:r>
      <w:r w:rsidRPr="00B77108">
        <w:t xml:space="preserve"> </w:t>
      </w:r>
      <w:r w:rsidR="002069A8">
        <w:t xml:space="preserve">the </w:t>
      </w:r>
      <w:r w:rsidR="008621AD">
        <w:t>ES</w:t>
      </w:r>
      <w:r w:rsidR="008621AD" w:rsidRPr="00B77108">
        <w:t xml:space="preserve"> </w:t>
      </w:r>
      <w:r w:rsidR="00205DC6">
        <w:t xml:space="preserve">capacity </w:t>
      </w:r>
      <w:r w:rsidRPr="00B77108">
        <w:t xml:space="preserve">target is </w:t>
      </w:r>
      <w:r w:rsidR="0001730F">
        <w:t xml:space="preserve">equally weighted between </w:t>
      </w:r>
      <w:r w:rsidRPr="00B77108">
        <w:t xml:space="preserve">low </w:t>
      </w:r>
      <w:r w:rsidR="0001730F">
        <w:t>and</w:t>
      </w:r>
      <w:r w:rsidRPr="00B77108">
        <w:t xml:space="preserve"> medium </w:t>
      </w:r>
      <w:r w:rsidR="0001730F">
        <w:t>scenarios.</w:t>
      </w:r>
    </w:p>
    <w:p w14:paraId="5DDDC365" w14:textId="04E7B506" w:rsidR="0001730F" w:rsidRDefault="0001730F" w:rsidP="00D212EA">
      <w:pPr>
        <w:pStyle w:val="rptmainbodybullets1"/>
        <w:spacing w:before="120"/>
      </w:pPr>
      <w:r w:rsidRPr="00B77108">
        <w:t xml:space="preserve">If </w:t>
      </w:r>
      <w:r>
        <w:t>the battery</w:t>
      </w:r>
      <w:r w:rsidRPr="00B77108">
        <w:t xml:space="preserve"> cost</w:t>
      </w:r>
      <w:r>
        <w:t>s</w:t>
      </w:r>
      <w:r w:rsidRPr="00B77108">
        <w:t xml:space="preserve"> </w:t>
      </w:r>
      <w:r>
        <w:t xml:space="preserve">are in the bottom </w:t>
      </w:r>
      <w:r w:rsidR="00265D8D">
        <w:t>third</w:t>
      </w:r>
      <w:r>
        <w:t xml:space="preserve"> of the distribution (i.e., costs are</w:t>
      </w:r>
      <w:r w:rsidRPr="00B77108">
        <w:t xml:space="preserve"> </w:t>
      </w:r>
      <w:r>
        <w:t>low</w:t>
      </w:r>
      <w:r w:rsidRPr="00B77108">
        <w:t>)</w:t>
      </w:r>
      <w:r>
        <w:t>,</w:t>
      </w:r>
      <w:r w:rsidRPr="00B77108">
        <w:t xml:space="preserve"> </w:t>
      </w:r>
      <w:r>
        <w:t xml:space="preserve">the </w:t>
      </w:r>
      <w:r w:rsidR="008621AD">
        <w:t>ES</w:t>
      </w:r>
      <w:r w:rsidR="008621AD" w:rsidRPr="00B77108">
        <w:t xml:space="preserve"> </w:t>
      </w:r>
      <w:r w:rsidR="00205DC6">
        <w:t>capacity</w:t>
      </w:r>
      <w:r>
        <w:t xml:space="preserve"> </w:t>
      </w:r>
      <w:r w:rsidRPr="00B77108">
        <w:t xml:space="preserve">target is </w:t>
      </w:r>
      <w:r>
        <w:t>equally weighted between high</w:t>
      </w:r>
      <w:r w:rsidRPr="00B77108">
        <w:t xml:space="preserve"> </w:t>
      </w:r>
      <w:r>
        <w:t>and</w:t>
      </w:r>
      <w:r w:rsidRPr="00B77108">
        <w:t xml:space="preserve"> medium </w:t>
      </w:r>
      <w:r>
        <w:t>scenarios.</w:t>
      </w:r>
    </w:p>
    <w:p w14:paraId="122FD095" w14:textId="66BA0EF7" w:rsidR="006A4476" w:rsidRPr="006A4476" w:rsidRDefault="001940BB" w:rsidP="00D212EA">
      <w:pPr>
        <w:pStyle w:val="rptmainbodybullets1"/>
        <w:spacing w:before="120"/>
      </w:pPr>
      <w:r w:rsidRPr="00B77108">
        <w:t xml:space="preserve">If </w:t>
      </w:r>
      <w:r>
        <w:t>the battery</w:t>
      </w:r>
      <w:r w:rsidRPr="00B77108">
        <w:t xml:space="preserve"> cost</w:t>
      </w:r>
      <w:r>
        <w:t>s</w:t>
      </w:r>
      <w:r w:rsidRPr="00B77108">
        <w:t xml:space="preserve"> </w:t>
      </w:r>
      <w:r>
        <w:t xml:space="preserve">are in the middle </w:t>
      </w:r>
      <w:r w:rsidR="00265D8D">
        <w:t>third</w:t>
      </w:r>
      <w:r>
        <w:t xml:space="preserve"> of the distribution (i.e., costs are</w:t>
      </w:r>
      <w:r w:rsidRPr="00B77108">
        <w:t xml:space="preserve"> </w:t>
      </w:r>
      <w:r>
        <w:t>in the mid-range</w:t>
      </w:r>
      <w:r w:rsidRPr="00B77108">
        <w:t>)</w:t>
      </w:r>
      <w:r>
        <w:t>,</w:t>
      </w:r>
      <w:r w:rsidRPr="00B77108">
        <w:t xml:space="preserve"> </w:t>
      </w:r>
      <w:r>
        <w:t xml:space="preserve">the </w:t>
      </w:r>
      <w:r w:rsidR="008621AD">
        <w:t>ES</w:t>
      </w:r>
      <w:r w:rsidR="008621AD" w:rsidRPr="00B77108">
        <w:t xml:space="preserve"> </w:t>
      </w:r>
      <w:r w:rsidR="00205DC6">
        <w:t>capacity</w:t>
      </w:r>
      <w:r>
        <w:t xml:space="preserve"> </w:t>
      </w:r>
      <w:r w:rsidRPr="00B77108">
        <w:t xml:space="preserve">target is </w:t>
      </w:r>
      <w:r>
        <w:t xml:space="preserve">equally weighted between </w:t>
      </w:r>
      <w:r w:rsidRPr="00B77108">
        <w:t>low</w:t>
      </w:r>
      <w:r>
        <w:t xml:space="preserve">, </w:t>
      </w:r>
      <w:r w:rsidRPr="00B77108">
        <w:t xml:space="preserve">medium </w:t>
      </w:r>
      <w:r>
        <w:t>and high scenarios.</w:t>
      </w:r>
    </w:p>
    <w:p w14:paraId="054338B0" w14:textId="7BF833C1" w:rsidR="00F12D51" w:rsidRDefault="009E5545">
      <w:pPr>
        <w:pStyle w:val="rptmainbodyfiguretitle1"/>
      </w:pPr>
      <w:bookmarkStart w:id="940" w:name="_Ref86065015"/>
      <w:bookmarkStart w:id="941" w:name="_Toc86727540"/>
      <w:r>
        <w:lastRenderedPageBreak/>
        <w:t xml:space="preserve">Figure </w:t>
      </w:r>
      <w:r>
        <w:fldChar w:fldCharType="begin"/>
      </w:r>
      <w:r>
        <w:instrText>SEQ Figure \* ARABIC</w:instrText>
      </w:r>
      <w:r>
        <w:fldChar w:fldCharType="separate"/>
      </w:r>
      <w:r w:rsidR="00401666">
        <w:rPr>
          <w:noProof/>
        </w:rPr>
        <w:t>11</w:t>
      </w:r>
      <w:r>
        <w:fldChar w:fldCharType="end"/>
      </w:r>
      <w:bookmarkEnd w:id="940"/>
      <w:r>
        <w:t>:</w:t>
      </w:r>
      <w:r w:rsidR="00F12D51">
        <w:t xml:space="preserve"> </w:t>
      </w:r>
      <w:r w:rsidR="00F12D51" w:rsidRPr="00F12D51">
        <w:t>NREL’s 4-hour Battery Cost Projections</w:t>
      </w:r>
      <w:r w:rsidR="00F12D51">
        <w:rPr>
          <w:rStyle w:val="FootnoteReference"/>
        </w:rPr>
        <w:footnoteReference w:id="32"/>
      </w:r>
      <w:bookmarkEnd w:id="941"/>
    </w:p>
    <w:p w14:paraId="146906AF" w14:textId="49797749" w:rsidR="005B4E4F" w:rsidRDefault="002E62BA" w:rsidP="006C15FA">
      <w:pPr>
        <w:pStyle w:val="rptmainbodyfigure"/>
      </w:pPr>
      <w:r w:rsidRPr="002E62BA">
        <w:drawing>
          <wp:inline distT="0" distB="0" distL="0" distR="0" wp14:anchorId="53E21791" wp14:editId="390347E3">
            <wp:extent cx="5486400" cy="3056246"/>
            <wp:effectExtent l="0" t="0" r="0" b="0"/>
            <wp:docPr id="30" name="Picture 8" descr="Chart, line chart&#10;&#10;Description automatically generated">
              <a:extLst xmlns:a="http://schemas.openxmlformats.org/drawingml/2006/main">
                <a:ext uri="{FF2B5EF4-FFF2-40B4-BE49-F238E27FC236}">
                  <a16:creationId xmlns:a16="http://schemas.microsoft.com/office/drawing/2014/main" id="{0E8F5CA3-1CDD-42F6-ABA6-0E2EEF9013E2}"/>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0" name="Picture 8" descr="Chart, line chart&#10;&#10;Description automatically generated">
                      <a:extLst>
                        <a:ext uri="{FF2B5EF4-FFF2-40B4-BE49-F238E27FC236}">
                          <a16:creationId xmlns:a16="http://schemas.microsoft.com/office/drawing/2014/main" id="{0E8F5CA3-1CDD-42F6-ABA6-0E2EEF9013E2}"/>
                        </a:ext>
                      </a:extLst>
                    </pic:cNvPr>
                    <pic:cNvPicPr>
                      <a:picLocks noChangeAspect="1"/>
                    </pic:cNvPicPr>
                  </pic:nvPicPr>
                  <pic:blipFill rotWithShape="1">
                    <a:blip r:embed="rId41"/>
                    <a:srcRect l="2028" t="7985" r="2907" b="3375"/>
                    <a:stretch/>
                  </pic:blipFill>
                  <pic:spPr bwMode="auto">
                    <a:xfrm>
                      <a:off x="0" y="0"/>
                      <a:ext cx="5486400" cy="3056246"/>
                    </a:xfrm>
                    <a:prstGeom prst="rect">
                      <a:avLst/>
                    </a:prstGeom>
                    <a:ln>
                      <a:noFill/>
                    </a:ln>
                    <a:extLst>
                      <a:ext uri="{53640926-AAD7-44D8-BBD7-CCE9431645EC}">
                        <a14:shadowObscured xmlns:a14="http://schemas.microsoft.com/office/drawing/2010/main"/>
                      </a:ext>
                    </a:extLst>
                  </pic:spPr>
                </pic:pic>
              </a:graphicData>
            </a:graphic>
          </wp:inline>
        </w:drawing>
      </w:r>
    </w:p>
    <w:p w14:paraId="7BFA2C47" w14:textId="4E98E40C" w:rsidR="001940BB" w:rsidRDefault="00B818A9" w:rsidP="00B818A9">
      <w:pPr>
        <w:pStyle w:val="rptmainbodytext"/>
      </w:pPr>
      <w:r w:rsidRPr="00B818A9">
        <w:t xml:space="preserve">Since Class I REC revenues are </w:t>
      </w:r>
      <w:r w:rsidR="000D7551">
        <w:t>treated as</w:t>
      </w:r>
      <w:r w:rsidR="007B5013">
        <w:t xml:space="preserve"> </w:t>
      </w:r>
      <w:r w:rsidR="000D7551">
        <w:t>“</w:t>
      </w:r>
      <w:r w:rsidR="007B5013">
        <w:t>in-market</w:t>
      </w:r>
      <w:r w:rsidR="000D7551">
        <w:t>” revenue</w:t>
      </w:r>
      <w:r w:rsidR="007B5013">
        <w:t xml:space="preserve"> </w:t>
      </w:r>
      <w:r w:rsidR="0006428F">
        <w:t>for</w:t>
      </w:r>
      <w:r w:rsidR="0006428F" w:rsidRPr="00B818A9">
        <w:t xml:space="preserve"> </w:t>
      </w:r>
      <w:r w:rsidRPr="00B818A9">
        <w:t xml:space="preserve">the </w:t>
      </w:r>
      <w:r w:rsidR="0006428F">
        <w:t>purpose</w:t>
      </w:r>
      <w:r w:rsidR="000D7551">
        <w:t>s</w:t>
      </w:r>
      <w:r w:rsidR="0006428F">
        <w:t xml:space="preserve"> of O</w:t>
      </w:r>
      <w:r w:rsidR="0006428F" w:rsidRPr="00B818A9">
        <w:t xml:space="preserve">ffer </w:t>
      </w:r>
      <w:r w:rsidR="0006428F">
        <w:t>F</w:t>
      </w:r>
      <w:r w:rsidR="0006428F" w:rsidRPr="00B818A9">
        <w:t xml:space="preserve">loor </w:t>
      </w:r>
      <w:r w:rsidR="0006428F">
        <w:t xml:space="preserve">Price </w:t>
      </w:r>
      <w:r w:rsidRPr="00B818A9">
        <w:t>calculation, we assume solar resources will be price-takers</w:t>
      </w:r>
      <w:r>
        <w:t xml:space="preserve"> in both MOPR and No MOPR cases.  </w:t>
      </w:r>
      <w:r w:rsidR="00DD191A">
        <w:t xml:space="preserve">We assume </w:t>
      </w:r>
      <w:r>
        <w:t xml:space="preserve">ES resources are price-takers in the No MOPR case, to the extent </w:t>
      </w:r>
      <w:r w:rsidR="00DD191A">
        <w:t xml:space="preserve">they are subsidized, with the </w:t>
      </w:r>
      <w:r w:rsidR="008F7277">
        <w:t>possibility of additional merchant entry at higher prices</w:t>
      </w:r>
      <w:r w:rsidR="00065914">
        <w:t xml:space="preserve"> according to the </w:t>
      </w:r>
      <w:r w:rsidR="00E17BE4">
        <w:t>batter</w:t>
      </w:r>
      <w:r w:rsidR="00403876">
        <w:t>y cost scenario</w:t>
      </w:r>
      <w:r w:rsidR="00594021">
        <w:t xml:space="preserve"> </w:t>
      </w:r>
      <w:r w:rsidR="0017746F">
        <w:t>described above</w:t>
      </w:r>
      <w:r w:rsidR="00DD191A">
        <w:t>.</w:t>
      </w:r>
      <w:r w:rsidR="008F7277">
        <w:t xml:space="preserve">  In the MOPR case, the offer price </w:t>
      </w:r>
      <w:r w:rsidR="005D14FF">
        <w:t>depend</w:t>
      </w:r>
      <w:r w:rsidR="00966310">
        <w:t>s</w:t>
      </w:r>
      <w:r w:rsidR="005D14FF">
        <w:t xml:space="preserve"> on </w:t>
      </w:r>
      <w:r w:rsidR="00D42A52">
        <w:t xml:space="preserve">the </w:t>
      </w:r>
      <w:r w:rsidR="00575F4A">
        <w:t>batter</w:t>
      </w:r>
      <w:r w:rsidR="00EA36A4">
        <w:t>y cost scenario</w:t>
      </w:r>
      <w:r w:rsidR="00D43E75">
        <w:t xml:space="preserve"> with the average offer prices (before adjusting for ELCC) being:</w:t>
      </w:r>
    </w:p>
    <w:p w14:paraId="1A9A67F0" w14:textId="3308A3DA" w:rsidR="00D43E75" w:rsidRPr="00D43E75" w:rsidRDefault="00D43E75" w:rsidP="006C15FA">
      <w:pPr>
        <w:pStyle w:val="rptmainbodybullets1"/>
      </w:pPr>
      <w:r w:rsidRPr="00D43E75">
        <w:t>For 2-hr units, $2.9/kW-mo in 2030$</w:t>
      </w:r>
      <w:r w:rsidR="000A25BB">
        <w:t xml:space="preserve">, which is equal to </w:t>
      </w:r>
      <w:r w:rsidR="000A25BB" w:rsidRPr="00D43E75">
        <w:t>their ORTP</w:t>
      </w:r>
      <w:r w:rsidR="00957222">
        <w:t>.</w:t>
      </w:r>
    </w:p>
    <w:p w14:paraId="667B86B4" w14:textId="2984F9B4" w:rsidR="00D43E75" w:rsidRDefault="00D43E75" w:rsidP="006C15FA">
      <w:pPr>
        <w:pStyle w:val="rptmainbodybullets1"/>
      </w:pPr>
      <w:r w:rsidRPr="00D43E75">
        <w:t xml:space="preserve">For 4-hr units, </w:t>
      </w:r>
      <w:r w:rsidR="0015203E">
        <w:t>$6</w:t>
      </w:r>
      <w:r w:rsidR="00EE2927">
        <w:t>.40</w:t>
      </w:r>
      <w:r w:rsidR="0015203E">
        <w:t>/kW-mo</w:t>
      </w:r>
      <w:r w:rsidR="0047637B">
        <w:t xml:space="preserve"> in 2030$</w:t>
      </w:r>
      <w:r w:rsidR="000A25BB">
        <w:t xml:space="preserve">, which is </w:t>
      </w:r>
      <w:r w:rsidRPr="00D43E75">
        <w:t>a value developed by the IMM’s consultants for its FCA-16 new resource reviews</w:t>
      </w:r>
      <w:r w:rsidR="00957222">
        <w:t>.</w:t>
      </w:r>
    </w:p>
    <w:p w14:paraId="567AF9B3" w14:textId="3D496AA4" w:rsidR="005C4A98" w:rsidRDefault="005C4A98" w:rsidP="009B2B54">
      <w:pPr>
        <w:pStyle w:val="rptmainbodyheading4"/>
      </w:pPr>
      <w:r>
        <w:t>New Combustion Turbines</w:t>
      </w:r>
    </w:p>
    <w:p w14:paraId="58DBEDA5" w14:textId="5A71710E" w:rsidR="001F22DD" w:rsidRDefault="00BC49AF" w:rsidP="005858A9">
      <w:pPr>
        <w:pStyle w:val="rptmainbodytext"/>
      </w:pPr>
      <w:r>
        <w:t xml:space="preserve">We assumed that </w:t>
      </w:r>
      <w:r w:rsidR="00FE7169">
        <w:t xml:space="preserve">a new CT will </w:t>
      </w:r>
      <w:r w:rsidR="00A64728">
        <w:t xml:space="preserve">continue to </w:t>
      </w:r>
      <w:r w:rsidR="00FE7169">
        <w:t>be the reference unit for the capacity demand curve</w:t>
      </w:r>
      <w:r w:rsidR="00652E40">
        <w:t>.  However, t</w:t>
      </w:r>
      <w:r w:rsidR="00652E40" w:rsidRPr="00652E40">
        <w:t xml:space="preserve">he ability of </w:t>
      </w:r>
      <w:r w:rsidR="00652E40">
        <w:t xml:space="preserve">new </w:t>
      </w:r>
      <w:r w:rsidR="00652E40" w:rsidRPr="00652E40">
        <w:t xml:space="preserve">fossil-fired resources to be permitted and the availability of sites for building </w:t>
      </w:r>
      <w:r w:rsidR="00652E40">
        <w:t xml:space="preserve">a large number of </w:t>
      </w:r>
      <w:r w:rsidR="00652E40" w:rsidRPr="00652E40">
        <w:t>new CTs is unclear</w:t>
      </w:r>
      <w:r w:rsidR="00652E40">
        <w:t>.</w:t>
      </w:r>
      <w:r w:rsidR="00B05ACA">
        <w:t xml:space="preserve">  Hence, w</w:t>
      </w:r>
      <w:r w:rsidR="00652E40" w:rsidRPr="00652E40">
        <w:t xml:space="preserve">e modeled </w:t>
      </w:r>
      <w:r w:rsidR="00B05ACA">
        <w:t>four</w:t>
      </w:r>
      <w:r w:rsidR="00652E40" w:rsidRPr="00652E40">
        <w:t xml:space="preserve"> equally</w:t>
      </w:r>
      <w:r w:rsidR="008676B2">
        <w:t xml:space="preserve"> </w:t>
      </w:r>
      <w:r w:rsidR="00652E40" w:rsidRPr="00652E40">
        <w:t>weighted scenarios with varying quantities (</w:t>
      </w:r>
      <w:r w:rsidR="00B05ACA">
        <w:t xml:space="preserve">2 to 8 CTs or approximately </w:t>
      </w:r>
      <w:r w:rsidR="0057752E">
        <w:t>740MW to 3GW</w:t>
      </w:r>
      <w:r w:rsidR="00652E40" w:rsidRPr="00652E40">
        <w:t>) of feasible new CT build</w:t>
      </w:r>
      <w:r w:rsidR="0057752E">
        <w:t xml:space="preserve">.  </w:t>
      </w:r>
    </w:p>
    <w:p w14:paraId="48A7DBAE" w14:textId="69C64306" w:rsidR="00BC49AF" w:rsidRDefault="004321CF" w:rsidP="005858A9">
      <w:pPr>
        <w:pStyle w:val="rptmainbodytext"/>
      </w:pPr>
      <w:r>
        <w:t>In each scenario, w</w:t>
      </w:r>
      <w:r w:rsidR="00FA13CC">
        <w:t xml:space="preserve">e </w:t>
      </w:r>
      <w:r w:rsidR="00652E40" w:rsidRPr="00652E40">
        <w:t xml:space="preserve">assume that </w:t>
      </w:r>
      <w:r>
        <w:t xml:space="preserve">half the </w:t>
      </w:r>
      <w:r w:rsidR="00652E40" w:rsidRPr="00652E40">
        <w:t xml:space="preserve">new CTs offer </w:t>
      </w:r>
      <w:r w:rsidR="00076CB9">
        <w:t xml:space="preserve">their capacity </w:t>
      </w:r>
      <w:r w:rsidR="00652E40" w:rsidRPr="00652E40">
        <w:t xml:space="preserve">at Net CONE </w:t>
      </w:r>
      <w:r>
        <w:t xml:space="preserve">while the other half offer at a slightly higher </w:t>
      </w:r>
      <w:r w:rsidR="00076CB9">
        <w:t>price</w:t>
      </w:r>
      <w:r w:rsidR="00652E40" w:rsidRPr="00652E40">
        <w:t xml:space="preserve"> </w:t>
      </w:r>
      <w:r w:rsidR="00076CB9">
        <w:t>of</w:t>
      </w:r>
      <w:r w:rsidR="004E5785">
        <w:t xml:space="preserve"> N</w:t>
      </w:r>
      <w:r w:rsidR="00652E40" w:rsidRPr="00652E40">
        <w:t>et CONE +</w:t>
      </w:r>
      <w:r w:rsidR="00076CB9">
        <w:t xml:space="preserve"> </w:t>
      </w:r>
      <w:r w:rsidR="00652E40" w:rsidRPr="00652E40">
        <w:t>$</w:t>
      </w:r>
      <w:r w:rsidR="00076CB9">
        <w:t>0.75</w:t>
      </w:r>
      <w:r w:rsidR="00652E40" w:rsidRPr="00652E40">
        <w:t>/kW-mo</w:t>
      </w:r>
      <w:r w:rsidR="00076CB9">
        <w:t>.</w:t>
      </w:r>
    </w:p>
    <w:p w14:paraId="5D412496" w14:textId="629B00B8" w:rsidR="00716C13" w:rsidRDefault="00BB5070" w:rsidP="009B2B54">
      <w:pPr>
        <w:pStyle w:val="rptmainbodyheading3"/>
      </w:pPr>
      <w:r>
        <w:lastRenderedPageBreak/>
        <w:t xml:space="preserve">Reference Unit </w:t>
      </w:r>
      <w:r w:rsidR="00716C13">
        <w:t>Revenues</w:t>
      </w:r>
    </w:p>
    <w:p w14:paraId="1BD54BBD" w14:textId="636695EA" w:rsidR="00564C14" w:rsidRDefault="00E07DDF" w:rsidP="005858A9">
      <w:pPr>
        <w:pStyle w:val="rptmainbodytext"/>
      </w:pPr>
      <w:r>
        <w:t xml:space="preserve">The </w:t>
      </w:r>
      <w:r w:rsidR="004A17F2">
        <w:t xml:space="preserve">reference unit </w:t>
      </w:r>
      <w:r w:rsidR="002E4599">
        <w:t>receives capacity</w:t>
      </w:r>
      <w:r w:rsidR="002555D8" w:rsidRPr="002555D8">
        <w:t xml:space="preserve"> </w:t>
      </w:r>
      <w:r w:rsidR="002555D8">
        <w:t>revenues</w:t>
      </w:r>
      <w:r w:rsidR="00F2164B">
        <w:t xml:space="preserve">, </w:t>
      </w:r>
      <w:r w:rsidR="002555D8">
        <w:t xml:space="preserve">revenues from sale of </w:t>
      </w:r>
      <w:r w:rsidR="00F2164B">
        <w:t>energy and ancillary services</w:t>
      </w:r>
      <w:r w:rsidR="00564C14">
        <w:t xml:space="preserve"> (“EAS”)</w:t>
      </w:r>
      <w:r w:rsidR="002555D8">
        <w:t xml:space="preserve">, and </w:t>
      </w:r>
      <w:r w:rsidR="00291C44" w:rsidRPr="00291C44">
        <w:t xml:space="preserve">Pay for Performance </w:t>
      </w:r>
      <w:r w:rsidR="004866A0">
        <w:t xml:space="preserve">(“PFP”) </w:t>
      </w:r>
      <w:r w:rsidR="00291C44" w:rsidRPr="00291C44">
        <w:t>revenues</w:t>
      </w:r>
      <w:r w:rsidR="002E4599">
        <w:t xml:space="preserve">.  </w:t>
      </w:r>
      <w:r w:rsidR="00D771A0">
        <w:t>All t</w:t>
      </w:r>
      <w:r w:rsidR="006178CA">
        <w:t>he</w:t>
      </w:r>
      <w:r w:rsidR="00D771A0">
        <w:t>se</w:t>
      </w:r>
      <w:r w:rsidR="00C83798">
        <w:t xml:space="preserve"> </w:t>
      </w:r>
      <w:r w:rsidR="0025249E">
        <w:t>revenue</w:t>
      </w:r>
      <w:r w:rsidR="00D771A0">
        <w:t xml:space="preserve"> </w:t>
      </w:r>
      <w:r w:rsidR="00AB32CF">
        <w:t>streams tend</w:t>
      </w:r>
      <w:r w:rsidR="0025249E">
        <w:t xml:space="preserve"> to decline </w:t>
      </w:r>
      <w:r w:rsidR="00B717FD">
        <w:t>(</w:t>
      </w:r>
      <w:r w:rsidR="009145BB">
        <w:t>at varying rates</w:t>
      </w:r>
      <w:r w:rsidR="00B717FD">
        <w:t>)</w:t>
      </w:r>
      <w:r w:rsidR="009145BB">
        <w:t xml:space="preserve"> </w:t>
      </w:r>
      <w:r w:rsidR="0025249E">
        <w:t xml:space="preserve">as the capacity surplus increases.  </w:t>
      </w:r>
      <w:r w:rsidR="00630CF6">
        <w:t>In this subsection, w</w:t>
      </w:r>
      <w:r w:rsidR="00330759">
        <w:t xml:space="preserve">e describe </w:t>
      </w:r>
      <w:r w:rsidR="00D74825">
        <w:t>our</w:t>
      </w:r>
      <w:r w:rsidR="000D4469">
        <w:t xml:space="preserve"> </w:t>
      </w:r>
      <w:r w:rsidR="00B624A5">
        <w:t>methodology</w:t>
      </w:r>
      <w:r w:rsidR="00330759">
        <w:t xml:space="preserve"> for estimating the revenue </w:t>
      </w:r>
      <w:r w:rsidR="00BE49D9">
        <w:t>to the reference unit</w:t>
      </w:r>
      <w:r w:rsidR="001E6D6D">
        <w:t xml:space="preserve"> </w:t>
      </w:r>
      <w:r w:rsidR="008B2FD5">
        <w:t xml:space="preserve">as the </w:t>
      </w:r>
      <w:r w:rsidR="00F827B8">
        <w:t>various assumptions about supply and demand from</w:t>
      </w:r>
      <w:r w:rsidR="00705D6C">
        <w:t xml:space="preserve"> the previous subsection</w:t>
      </w:r>
      <w:r w:rsidR="002338C5">
        <w:t>s</w:t>
      </w:r>
      <w:r w:rsidR="00705D6C">
        <w:t xml:space="preserve"> combine to produce a Monte Carlo realization-specific </w:t>
      </w:r>
      <w:r w:rsidR="008B2FD5">
        <w:t>capacity surplus</w:t>
      </w:r>
      <w:r w:rsidR="00A804C1">
        <w:t>.</w:t>
      </w:r>
      <w:r w:rsidR="00564C14">
        <w:t xml:space="preserve"> </w:t>
      </w:r>
    </w:p>
    <w:p w14:paraId="704133E9" w14:textId="7A8E4806" w:rsidR="00C41B63" w:rsidRDefault="00C41B63" w:rsidP="009B2B54">
      <w:pPr>
        <w:pStyle w:val="rptmainbodyheading4"/>
      </w:pPr>
      <w:r>
        <w:t>Capacity Revenues</w:t>
      </w:r>
    </w:p>
    <w:p w14:paraId="1071724D" w14:textId="29305F53" w:rsidR="00C41B63" w:rsidRDefault="001C27C9" w:rsidP="00C41B63">
      <w:pPr>
        <w:pStyle w:val="rptmainbodytext"/>
      </w:pPr>
      <w:r>
        <w:t>In each Monte Carlo realization, w</w:t>
      </w:r>
      <w:r w:rsidR="00696D10">
        <w:t xml:space="preserve">e determine the capacity revenues to the reference unit </w:t>
      </w:r>
      <w:r>
        <w:t xml:space="preserve">using the realization-specific </w:t>
      </w:r>
      <w:r w:rsidR="002960DC">
        <w:t>capacity surplus and th</w:t>
      </w:r>
      <w:r w:rsidR="00187182">
        <w:t xml:space="preserve">e </w:t>
      </w:r>
      <w:r w:rsidR="00921E27">
        <w:t xml:space="preserve">capacity </w:t>
      </w:r>
      <w:r>
        <w:t>demand curve</w:t>
      </w:r>
      <w:r w:rsidR="00DD5169">
        <w:t>.  W</w:t>
      </w:r>
      <w:r w:rsidR="00921E27">
        <w:t>e determine</w:t>
      </w:r>
      <w:r w:rsidR="00EE4657">
        <w:t xml:space="preserve"> </w:t>
      </w:r>
      <w:r w:rsidR="003A04DD">
        <w:t xml:space="preserve">the demand curve </w:t>
      </w:r>
      <w:r w:rsidR="00300991">
        <w:t xml:space="preserve">by scaling the MRI curve </w:t>
      </w:r>
      <w:r w:rsidR="00921E27">
        <w:t>used in FCA-15</w:t>
      </w:r>
      <w:r w:rsidR="00480180">
        <w:t xml:space="preserve"> using the </w:t>
      </w:r>
      <w:r w:rsidR="0006522D">
        <w:t xml:space="preserve">iteration-specific </w:t>
      </w:r>
      <w:r w:rsidR="00480180">
        <w:t>Net CONE of the reference unit</w:t>
      </w:r>
      <w:r w:rsidR="00300991">
        <w:t>.</w:t>
      </w:r>
      <w:r w:rsidR="00976DA5">
        <w:t xml:space="preserve">  </w:t>
      </w:r>
    </w:p>
    <w:p w14:paraId="00F6E667" w14:textId="77777777" w:rsidR="00BE1D78" w:rsidRDefault="00BE1D78" w:rsidP="00BE1D78">
      <w:pPr>
        <w:pStyle w:val="rptmainbodyheading4"/>
      </w:pPr>
      <w:r>
        <w:t>Energy and Ancillary Services Revenues</w:t>
      </w:r>
    </w:p>
    <w:p w14:paraId="1AF1A4D5" w14:textId="48FC880C" w:rsidR="00BE1D78" w:rsidRDefault="00BE1D78" w:rsidP="00BE1D78">
      <w:pPr>
        <w:pStyle w:val="rptmainbodytext"/>
        <w:rPr>
          <w:lang w:eastAsia="zh-CN"/>
        </w:rPr>
      </w:pPr>
      <w:r>
        <w:rPr>
          <w:lang w:eastAsia="zh-CN"/>
        </w:rPr>
        <w:t xml:space="preserve">As part of the CONE study, the ISO’s consultants estimated the </w:t>
      </w:r>
      <w:r w:rsidR="00BE029D">
        <w:rPr>
          <w:lang w:eastAsia="zh-CN"/>
        </w:rPr>
        <w:t xml:space="preserve">revenues a CT would earn from the sale of </w:t>
      </w:r>
      <w:r w:rsidR="00ED7BCB" w:rsidRPr="00ED7BCB">
        <w:rPr>
          <w:lang w:eastAsia="zh-CN"/>
        </w:rPr>
        <w:t xml:space="preserve">Energy and Ancillary Services </w:t>
      </w:r>
      <w:r w:rsidR="00ED7BCB">
        <w:rPr>
          <w:lang w:eastAsia="zh-CN"/>
        </w:rPr>
        <w:t xml:space="preserve">(“EAS”) </w:t>
      </w:r>
      <w:r>
        <w:rPr>
          <w:lang w:eastAsia="zh-CN"/>
        </w:rPr>
        <w:t>at criteria</w:t>
      </w:r>
      <w:r w:rsidR="001D66E5">
        <w:rPr>
          <w:lang w:eastAsia="zh-CN"/>
        </w:rPr>
        <w:t xml:space="preserve"> </w:t>
      </w:r>
      <w:r w:rsidR="003368B5">
        <w:rPr>
          <w:lang w:eastAsia="zh-CN"/>
        </w:rPr>
        <w:t>using the results of a production cost model and a simplified dispatch model</w:t>
      </w:r>
      <w:r w:rsidR="00BE029D">
        <w:rPr>
          <w:lang w:eastAsia="zh-CN"/>
        </w:rPr>
        <w:t>.</w:t>
      </w:r>
      <w:r w:rsidR="00835945">
        <w:rPr>
          <w:rStyle w:val="FootnoteReference"/>
          <w:lang w:eastAsia="zh-CN"/>
        </w:rPr>
        <w:footnoteReference w:id="33"/>
      </w:r>
      <w:r w:rsidR="00BE029D">
        <w:rPr>
          <w:lang w:eastAsia="zh-CN"/>
        </w:rPr>
        <w:t xml:space="preserve">  The consultants also estimated the unit’s </w:t>
      </w:r>
      <w:r w:rsidR="003368B5">
        <w:rPr>
          <w:lang w:eastAsia="zh-CN"/>
        </w:rPr>
        <w:t>EAS revenues</w:t>
      </w:r>
      <w:r>
        <w:rPr>
          <w:lang w:eastAsia="zh-CN"/>
        </w:rPr>
        <w:t xml:space="preserve"> under historical </w:t>
      </w:r>
      <w:r w:rsidR="00E8071B">
        <w:rPr>
          <w:lang w:eastAsia="zh-CN"/>
        </w:rPr>
        <w:t xml:space="preserve">surplus </w:t>
      </w:r>
      <w:r>
        <w:rPr>
          <w:lang w:eastAsia="zh-CN"/>
        </w:rPr>
        <w:t xml:space="preserve">conditions </w:t>
      </w:r>
      <w:r w:rsidR="00002011">
        <w:rPr>
          <w:lang w:eastAsia="zh-CN"/>
        </w:rPr>
        <w:t>in</w:t>
      </w:r>
      <w:r>
        <w:rPr>
          <w:lang w:eastAsia="zh-CN"/>
        </w:rPr>
        <w:t xml:space="preserve"> </w:t>
      </w:r>
      <w:r w:rsidR="00002011">
        <w:rPr>
          <w:lang w:eastAsia="zh-CN"/>
        </w:rPr>
        <w:t>its</w:t>
      </w:r>
      <w:r>
        <w:rPr>
          <w:lang w:eastAsia="zh-CN"/>
        </w:rPr>
        <w:t xml:space="preserve"> ORTP</w:t>
      </w:r>
      <w:r w:rsidR="00002011">
        <w:rPr>
          <w:lang w:eastAsia="zh-CN"/>
        </w:rPr>
        <w:t xml:space="preserve"> analysis</w:t>
      </w:r>
      <w:r>
        <w:rPr>
          <w:lang w:eastAsia="zh-CN"/>
        </w:rPr>
        <w:t>.  We utilized the</w:t>
      </w:r>
      <w:r w:rsidR="00F23348">
        <w:rPr>
          <w:lang w:eastAsia="zh-CN"/>
        </w:rPr>
        <w:t>se</w:t>
      </w:r>
      <w:r>
        <w:rPr>
          <w:lang w:eastAsia="zh-CN"/>
        </w:rPr>
        <w:t xml:space="preserve"> </w:t>
      </w:r>
      <w:r w:rsidR="00E12DB3">
        <w:rPr>
          <w:lang w:eastAsia="zh-CN"/>
        </w:rPr>
        <w:t xml:space="preserve">revenue </w:t>
      </w:r>
      <w:r>
        <w:rPr>
          <w:lang w:eastAsia="zh-CN"/>
        </w:rPr>
        <w:t>estimates</w:t>
      </w:r>
      <w:r w:rsidR="00732C32">
        <w:rPr>
          <w:lang w:eastAsia="zh-CN"/>
        </w:rPr>
        <w:t xml:space="preserve"> to develop our model, which</w:t>
      </w:r>
      <w:r w:rsidR="007B2276">
        <w:rPr>
          <w:lang w:eastAsia="zh-CN"/>
        </w:rPr>
        <w:t xml:space="preserve"> estimates</w:t>
      </w:r>
      <w:r>
        <w:rPr>
          <w:lang w:eastAsia="zh-CN"/>
        </w:rPr>
        <w:t xml:space="preserve"> </w:t>
      </w:r>
      <w:r w:rsidR="009A616B">
        <w:rPr>
          <w:lang w:eastAsia="zh-CN"/>
        </w:rPr>
        <w:t xml:space="preserve">EAS </w:t>
      </w:r>
      <w:r>
        <w:rPr>
          <w:lang w:eastAsia="zh-CN"/>
        </w:rPr>
        <w:t xml:space="preserve">revenues of the </w:t>
      </w:r>
      <w:r w:rsidR="00951196">
        <w:rPr>
          <w:lang w:eastAsia="zh-CN"/>
        </w:rPr>
        <w:t>R</w:t>
      </w:r>
      <w:r>
        <w:rPr>
          <w:lang w:eastAsia="zh-CN"/>
        </w:rPr>
        <w:t xml:space="preserve">eference </w:t>
      </w:r>
      <w:r w:rsidR="00951196">
        <w:rPr>
          <w:lang w:eastAsia="zh-CN"/>
        </w:rPr>
        <w:t>U</w:t>
      </w:r>
      <w:r>
        <w:rPr>
          <w:lang w:eastAsia="zh-CN"/>
        </w:rPr>
        <w:t>nit in each Monte Carlo realization in the following manner</w:t>
      </w:r>
      <w:r w:rsidR="00F23348">
        <w:rPr>
          <w:lang w:eastAsia="zh-CN"/>
        </w:rPr>
        <w:t>:</w:t>
      </w:r>
    </w:p>
    <w:p w14:paraId="434D47B0" w14:textId="69479D4F" w:rsidR="00BE1D78" w:rsidRDefault="00BE1D78" w:rsidP="00BE1D78">
      <w:pPr>
        <w:pStyle w:val="rptmainbodybullets1"/>
        <w:rPr>
          <w:lang w:eastAsia="zh-CN"/>
        </w:rPr>
      </w:pPr>
      <w:r w:rsidRPr="00981AB6">
        <w:rPr>
          <w:lang w:eastAsia="zh-CN"/>
        </w:rPr>
        <w:t>EAS revenues</w:t>
      </w:r>
      <w:r w:rsidR="00A7620D">
        <w:rPr>
          <w:lang w:eastAsia="zh-CN"/>
        </w:rPr>
        <w:t xml:space="preserve"> are assumed</w:t>
      </w:r>
      <w:r w:rsidRPr="00981AB6">
        <w:rPr>
          <w:lang w:eastAsia="zh-CN"/>
        </w:rPr>
        <w:t xml:space="preserve"> to be a stochastic variable with a mean and standard deviation that </w:t>
      </w:r>
      <w:r w:rsidR="009429D1">
        <w:rPr>
          <w:lang w:eastAsia="zh-CN"/>
        </w:rPr>
        <w:t>de</w:t>
      </w:r>
      <w:r w:rsidR="009429D1" w:rsidRPr="00981AB6">
        <w:rPr>
          <w:lang w:eastAsia="zh-CN"/>
        </w:rPr>
        <w:t xml:space="preserve">crease </w:t>
      </w:r>
      <w:r w:rsidR="00BC0557">
        <w:rPr>
          <w:lang w:eastAsia="zh-CN"/>
        </w:rPr>
        <w:t xml:space="preserve">linearly </w:t>
      </w:r>
      <w:r w:rsidRPr="00981AB6">
        <w:rPr>
          <w:lang w:eastAsia="zh-CN"/>
        </w:rPr>
        <w:t xml:space="preserve">as </w:t>
      </w:r>
      <w:r w:rsidR="00D94437">
        <w:rPr>
          <w:lang w:eastAsia="zh-CN"/>
        </w:rPr>
        <w:t xml:space="preserve">the capacity </w:t>
      </w:r>
      <w:r w:rsidRPr="00981AB6">
        <w:rPr>
          <w:lang w:eastAsia="zh-CN"/>
        </w:rPr>
        <w:t xml:space="preserve">surplus </w:t>
      </w:r>
      <w:r w:rsidR="009429D1">
        <w:rPr>
          <w:lang w:eastAsia="zh-CN"/>
        </w:rPr>
        <w:t xml:space="preserve">increases </w:t>
      </w:r>
      <w:r>
        <w:rPr>
          <w:lang w:eastAsia="zh-CN"/>
        </w:rPr>
        <w:t xml:space="preserve">(see </w:t>
      </w:r>
      <w:r w:rsidR="00110CD6">
        <w:rPr>
          <w:lang w:eastAsia="zh-CN"/>
        </w:rPr>
        <w:fldChar w:fldCharType="begin"/>
      </w:r>
      <w:r w:rsidR="00110CD6">
        <w:rPr>
          <w:lang w:eastAsia="zh-CN"/>
        </w:rPr>
        <w:instrText xml:space="preserve"> REF _Ref86065036 \h </w:instrText>
      </w:r>
      <w:r w:rsidR="00110CD6">
        <w:rPr>
          <w:lang w:eastAsia="zh-CN"/>
        </w:rPr>
      </w:r>
      <w:r w:rsidR="00110CD6">
        <w:rPr>
          <w:lang w:eastAsia="zh-CN"/>
        </w:rPr>
        <w:fldChar w:fldCharType="separate"/>
      </w:r>
      <w:r w:rsidR="00110CD6">
        <w:t xml:space="preserve">Figure </w:t>
      </w:r>
      <w:r w:rsidR="00110CD6">
        <w:rPr>
          <w:noProof/>
        </w:rPr>
        <w:t>12</w:t>
      </w:r>
      <w:r w:rsidR="00110CD6">
        <w:rPr>
          <w:lang w:eastAsia="zh-CN"/>
        </w:rPr>
        <w:fldChar w:fldCharType="end"/>
      </w:r>
      <w:r>
        <w:rPr>
          <w:lang w:eastAsia="zh-CN"/>
        </w:rPr>
        <w:t xml:space="preserve">).  </w:t>
      </w:r>
      <w:r w:rsidR="005B0AD0">
        <w:rPr>
          <w:lang w:eastAsia="zh-CN"/>
        </w:rPr>
        <w:t>We assumed that the revenues are distributed normally.</w:t>
      </w:r>
    </w:p>
    <w:p w14:paraId="2692638A" w14:textId="7B6AC3F3" w:rsidR="00BE1D78" w:rsidRDefault="00553C66" w:rsidP="00BE1D78">
      <w:pPr>
        <w:pStyle w:val="rptmainbodybullets1"/>
        <w:rPr>
          <w:lang w:eastAsia="zh-CN"/>
        </w:rPr>
      </w:pPr>
      <w:r>
        <w:rPr>
          <w:lang w:eastAsia="zh-CN"/>
        </w:rPr>
        <w:t>T</w:t>
      </w:r>
      <w:r w:rsidR="00BE1D78" w:rsidRPr="00157AD6">
        <w:rPr>
          <w:lang w:eastAsia="zh-CN"/>
        </w:rPr>
        <w:t>h</w:t>
      </w:r>
      <w:r w:rsidR="00BE1D78">
        <w:rPr>
          <w:lang w:eastAsia="zh-CN"/>
        </w:rPr>
        <w:t>is</w:t>
      </w:r>
      <w:r w:rsidR="00BE1D78" w:rsidRPr="00157AD6">
        <w:rPr>
          <w:lang w:eastAsia="zh-CN"/>
        </w:rPr>
        <w:t xml:space="preserve"> linear relationship</w:t>
      </w:r>
      <w:r w:rsidR="001A4646">
        <w:rPr>
          <w:lang w:eastAsia="zh-CN"/>
        </w:rPr>
        <w:t xml:space="preserve"> is consistent with</w:t>
      </w:r>
      <w:r w:rsidR="00BE1D78" w:rsidRPr="00157AD6">
        <w:rPr>
          <w:lang w:eastAsia="zh-CN"/>
        </w:rPr>
        <w:t xml:space="preserve"> using</w:t>
      </w:r>
      <w:r w:rsidR="001A4646">
        <w:rPr>
          <w:lang w:eastAsia="zh-CN"/>
        </w:rPr>
        <w:t>:</w:t>
      </w:r>
      <w:r w:rsidR="00BE1D78">
        <w:rPr>
          <w:lang w:eastAsia="zh-CN"/>
        </w:rPr>
        <w:t xml:space="preserve"> (a) </w:t>
      </w:r>
      <w:r w:rsidR="00BE1D78" w:rsidRPr="00157AD6">
        <w:rPr>
          <w:lang w:eastAsia="zh-CN"/>
        </w:rPr>
        <w:t xml:space="preserve">EAS revenues of a new CT at </w:t>
      </w:r>
      <w:r w:rsidR="00BE1D78">
        <w:rPr>
          <w:lang w:eastAsia="zh-CN"/>
        </w:rPr>
        <w:t>criteria</w:t>
      </w:r>
      <w:r w:rsidR="00A25B9C">
        <w:rPr>
          <w:lang w:eastAsia="zh-CN"/>
        </w:rPr>
        <w:t xml:space="preserve"> fro</w:t>
      </w:r>
      <w:r w:rsidR="0099444A">
        <w:rPr>
          <w:lang w:eastAsia="zh-CN"/>
        </w:rPr>
        <w:t>m</w:t>
      </w:r>
      <w:r w:rsidR="009A61B2">
        <w:rPr>
          <w:lang w:eastAsia="zh-CN"/>
        </w:rPr>
        <w:t xml:space="preserve"> the CONE Study</w:t>
      </w:r>
      <w:r w:rsidR="00BE1D78" w:rsidRPr="00157AD6">
        <w:rPr>
          <w:lang w:eastAsia="zh-CN"/>
        </w:rPr>
        <w:t>, and</w:t>
      </w:r>
      <w:r w:rsidR="00BE1D78">
        <w:rPr>
          <w:lang w:eastAsia="zh-CN"/>
        </w:rPr>
        <w:t xml:space="preserve"> (b) </w:t>
      </w:r>
      <w:r w:rsidR="00BE1D78" w:rsidRPr="00157AD6">
        <w:rPr>
          <w:lang w:eastAsia="zh-CN"/>
        </w:rPr>
        <w:t>EAS revenues used in the new CT’s ORTP which was estimated for a surplus of approximately 600MW (average over 2016/17-2018/19)</w:t>
      </w:r>
      <w:r w:rsidR="00BE1D78">
        <w:rPr>
          <w:lang w:eastAsia="zh-CN"/>
        </w:rPr>
        <w:t xml:space="preserve">. </w:t>
      </w:r>
    </w:p>
    <w:p w14:paraId="7E27914F" w14:textId="49EC42D4" w:rsidR="00BE6C17" w:rsidRDefault="00D150BF" w:rsidP="00960B40">
      <w:pPr>
        <w:pStyle w:val="rptmainbodytext"/>
        <w:rPr>
          <w:lang w:eastAsia="zh-CN"/>
        </w:rPr>
      </w:pPr>
      <w:r>
        <w:rPr>
          <w:lang w:eastAsia="zh-CN"/>
        </w:rPr>
        <w:fldChar w:fldCharType="begin"/>
      </w:r>
      <w:r>
        <w:rPr>
          <w:lang w:eastAsia="zh-CN"/>
        </w:rPr>
        <w:instrText xml:space="preserve"> REF _Ref86065036 \h </w:instrText>
      </w:r>
      <w:r>
        <w:rPr>
          <w:lang w:eastAsia="zh-CN"/>
        </w:rPr>
      </w:r>
      <w:r>
        <w:rPr>
          <w:lang w:eastAsia="zh-CN"/>
        </w:rPr>
        <w:fldChar w:fldCharType="separate"/>
      </w:r>
      <w:r>
        <w:t xml:space="preserve">Figure </w:t>
      </w:r>
      <w:r>
        <w:rPr>
          <w:noProof/>
        </w:rPr>
        <w:t>12</w:t>
      </w:r>
      <w:r>
        <w:rPr>
          <w:lang w:eastAsia="zh-CN"/>
        </w:rPr>
        <w:fldChar w:fldCharType="end"/>
      </w:r>
      <w:r>
        <w:rPr>
          <w:lang w:eastAsia="zh-CN"/>
        </w:rPr>
        <w:t xml:space="preserve"> </w:t>
      </w:r>
      <w:r w:rsidR="00BE6C17">
        <w:rPr>
          <w:lang w:eastAsia="zh-CN"/>
        </w:rPr>
        <w:t xml:space="preserve">shows the assumed relationship between the EAS </w:t>
      </w:r>
      <w:r w:rsidR="003068DD">
        <w:rPr>
          <w:lang w:eastAsia="zh-CN"/>
        </w:rPr>
        <w:t xml:space="preserve">revenue </w:t>
      </w:r>
      <w:r w:rsidR="00BE6C17">
        <w:rPr>
          <w:lang w:eastAsia="zh-CN"/>
        </w:rPr>
        <w:t>offset and the capacity surplus</w:t>
      </w:r>
      <w:r w:rsidR="003068DD">
        <w:rPr>
          <w:lang w:eastAsia="zh-CN"/>
        </w:rPr>
        <w:t>.  The revenue</w:t>
      </w:r>
      <w:r w:rsidR="00211862">
        <w:rPr>
          <w:lang w:eastAsia="zh-CN"/>
        </w:rPr>
        <w:t>s</w:t>
      </w:r>
      <w:r w:rsidR="003068DD">
        <w:rPr>
          <w:lang w:eastAsia="zh-CN"/>
        </w:rPr>
        <w:t xml:space="preserve"> shown </w:t>
      </w:r>
      <w:r w:rsidR="00211862">
        <w:rPr>
          <w:lang w:eastAsia="zh-CN"/>
        </w:rPr>
        <w:t>consider</w:t>
      </w:r>
      <w:r w:rsidR="00347429">
        <w:rPr>
          <w:lang w:eastAsia="zh-CN"/>
        </w:rPr>
        <w:t xml:space="preserve"> </w:t>
      </w:r>
      <w:r w:rsidR="00E52DAC">
        <w:rPr>
          <w:lang w:eastAsia="zh-CN"/>
        </w:rPr>
        <w:t>prices</w:t>
      </w:r>
      <w:r w:rsidR="00347429">
        <w:rPr>
          <w:lang w:eastAsia="zh-CN"/>
        </w:rPr>
        <w:t xml:space="preserve"> </w:t>
      </w:r>
      <w:r w:rsidR="00211862">
        <w:rPr>
          <w:lang w:eastAsia="zh-CN"/>
        </w:rPr>
        <w:t>that</w:t>
      </w:r>
      <w:r w:rsidR="00347429">
        <w:rPr>
          <w:lang w:eastAsia="zh-CN"/>
        </w:rPr>
        <w:t xml:space="preserve"> </w:t>
      </w:r>
      <w:r w:rsidR="003068DD">
        <w:rPr>
          <w:lang w:eastAsia="zh-CN"/>
        </w:rPr>
        <w:t xml:space="preserve">do not include </w:t>
      </w:r>
      <w:r w:rsidR="003C34C5">
        <w:rPr>
          <w:lang w:eastAsia="zh-CN"/>
        </w:rPr>
        <w:t>the</w:t>
      </w:r>
      <w:r w:rsidR="00153827">
        <w:rPr>
          <w:lang w:eastAsia="zh-CN"/>
        </w:rPr>
        <w:t xml:space="preserve"> </w:t>
      </w:r>
      <w:r w:rsidR="00347429">
        <w:rPr>
          <w:lang w:eastAsia="zh-CN"/>
        </w:rPr>
        <w:t xml:space="preserve">effects of the </w:t>
      </w:r>
      <w:r w:rsidR="00317AF8">
        <w:t>Reserve Constraint Penalty Factor (“RCPF”)</w:t>
      </w:r>
      <w:r w:rsidR="00347429">
        <w:t xml:space="preserve"> during </w:t>
      </w:r>
      <w:r w:rsidR="00347429">
        <w:rPr>
          <w:lang w:eastAsia="zh-CN"/>
        </w:rPr>
        <w:t>shortage events</w:t>
      </w:r>
      <w:r w:rsidR="007858A1">
        <w:t>, which are addressed along with PFP revenues in the next part of this subsection.</w:t>
      </w:r>
    </w:p>
    <w:p w14:paraId="59017887" w14:textId="62D81394" w:rsidR="00BE1D78" w:rsidRDefault="009E5545">
      <w:pPr>
        <w:pStyle w:val="rptmainbodyfiguretitle1"/>
        <w:rPr>
          <w:lang w:eastAsia="zh-CN"/>
        </w:rPr>
      </w:pPr>
      <w:bookmarkStart w:id="942" w:name="_Ref86065036"/>
      <w:bookmarkStart w:id="943" w:name="_Toc86727541"/>
      <w:r>
        <w:lastRenderedPageBreak/>
        <w:t xml:space="preserve">Figure </w:t>
      </w:r>
      <w:r>
        <w:fldChar w:fldCharType="begin"/>
      </w:r>
      <w:r>
        <w:instrText>SEQ Figure \* ARABIC</w:instrText>
      </w:r>
      <w:r>
        <w:fldChar w:fldCharType="separate"/>
      </w:r>
      <w:r w:rsidR="00401666">
        <w:rPr>
          <w:noProof/>
        </w:rPr>
        <w:t>12</w:t>
      </w:r>
      <w:r>
        <w:fldChar w:fldCharType="end"/>
      </w:r>
      <w:bookmarkEnd w:id="942"/>
      <w:r>
        <w:rPr>
          <w:lang w:eastAsia="zh-CN"/>
        </w:rPr>
        <w:t>:</w:t>
      </w:r>
      <w:r w:rsidR="00BE1D78">
        <w:rPr>
          <w:lang w:eastAsia="zh-CN"/>
        </w:rPr>
        <w:t xml:space="preserve"> Distribution of EAS Revenues at Various Surplus Levels</w:t>
      </w:r>
      <w:bookmarkEnd w:id="943"/>
    </w:p>
    <w:p w14:paraId="1B695DED" w14:textId="410E762A" w:rsidR="00BE1D78" w:rsidRDefault="00AC08BF" w:rsidP="00C727CD">
      <w:pPr>
        <w:pStyle w:val="rptmainbodyfigure"/>
      </w:pPr>
      <w:r w:rsidRPr="00AC08BF">
        <w:drawing>
          <wp:inline distT="0" distB="0" distL="0" distR="0" wp14:anchorId="7B64BB47" wp14:editId="50ECFCC8">
            <wp:extent cx="5943600" cy="3659329"/>
            <wp:effectExtent l="0" t="0" r="0" b="0"/>
            <wp:docPr id="479" name="Picture 47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rotWithShape="1">
                    <a:blip r:embed="rId42" cstate="print">
                      <a:extLst>
                        <a:ext uri="{28A0092B-C50C-407E-A947-70E740481C1C}">
                          <a14:useLocalDpi xmlns:a14="http://schemas.microsoft.com/office/drawing/2010/main" val="0"/>
                        </a:ext>
                      </a:extLst>
                    </a:blip>
                    <a:srcRect t="14941"/>
                    <a:stretch/>
                  </pic:blipFill>
                  <pic:spPr bwMode="auto">
                    <a:xfrm>
                      <a:off x="0" y="0"/>
                      <a:ext cx="5943600" cy="3659329"/>
                    </a:xfrm>
                    <a:prstGeom prst="rect">
                      <a:avLst/>
                    </a:prstGeom>
                    <a:noFill/>
                    <a:ln>
                      <a:noFill/>
                    </a:ln>
                    <a:extLst>
                      <a:ext uri="{53640926-AAD7-44D8-BBD7-CCE9431645EC}">
                        <a14:shadowObscured xmlns:a14="http://schemas.microsoft.com/office/drawing/2010/main"/>
                      </a:ext>
                    </a:extLst>
                  </pic:spPr>
                </pic:pic>
              </a:graphicData>
            </a:graphic>
          </wp:inline>
        </w:drawing>
      </w:r>
    </w:p>
    <w:p w14:paraId="0AD9DF4D" w14:textId="5EA75CF3" w:rsidR="00B80802" w:rsidRDefault="00B80802">
      <w:pPr>
        <w:pStyle w:val="rptmainbodytext"/>
      </w:pPr>
      <w:r>
        <w:t xml:space="preserve">As noted in </w:t>
      </w:r>
      <w:r w:rsidR="00673BF6">
        <w:fldChar w:fldCharType="begin"/>
      </w:r>
      <w:r w:rsidR="00673BF6">
        <w:instrText xml:space="preserve"> REF _Ref84237667 \r \h </w:instrText>
      </w:r>
      <w:r w:rsidR="00673BF6">
        <w:fldChar w:fldCharType="separate"/>
      </w:r>
      <w:r w:rsidR="00673BF6">
        <w:t>IV</w:t>
      </w:r>
      <w:r w:rsidR="00673BF6">
        <w:fldChar w:fldCharType="end"/>
      </w:r>
      <w:r w:rsidR="00673BF6">
        <w:t>.</w:t>
      </w:r>
      <w:r w:rsidR="00673BF6">
        <w:fldChar w:fldCharType="begin"/>
      </w:r>
      <w:r w:rsidR="00673BF6">
        <w:instrText xml:space="preserve"> REF _Ref86658078 \r \h </w:instrText>
      </w:r>
      <w:r w:rsidR="00673BF6">
        <w:fldChar w:fldCharType="separate"/>
      </w:r>
      <w:r w:rsidR="00673BF6">
        <w:t>A</w:t>
      </w:r>
      <w:r w:rsidR="00673BF6">
        <w:fldChar w:fldCharType="end"/>
      </w:r>
      <w:r>
        <w:t xml:space="preserve">, the revenue in each Monte Carlo realization in our study represents the average of </w:t>
      </w:r>
      <w:r w:rsidR="00673BF6">
        <w:t>three</w:t>
      </w:r>
      <w:r>
        <w:t xml:space="preserve"> years of revenue.  </w:t>
      </w:r>
      <w:r w:rsidR="002E69C3">
        <w:t>Accordingly</w:t>
      </w:r>
      <w:r>
        <w:t xml:space="preserve">, we estimate the EAS revenue </w:t>
      </w:r>
      <w:r w:rsidR="002B2124">
        <w:t xml:space="preserve">in each Monte Carlo realization as the average of </w:t>
      </w:r>
      <w:r w:rsidR="008620F7">
        <w:t>three</w:t>
      </w:r>
      <w:r w:rsidR="002B2124">
        <w:t xml:space="preserve"> random draws from </w:t>
      </w:r>
      <w:r w:rsidR="002E69C3">
        <w:t xml:space="preserve">the </w:t>
      </w:r>
      <w:r w:rsidR="005D618B">
        <w:t xml:space="preserve">assumed probability distribution of </w:t>
      </w:r>
      <w:r w:rsidR="00960983">
        <w:t xml:space="preserve">annual </w:t>
      </w:r>
      <w:r w:rsidR="005D618B">
        <w:t xml:space="preserve">EAS revenues for </w:t>
      </w:r>
      <w:r w:rsidR="000F63ED">
        <w:t>a</w:t>
      </w:r>
      <w:r w:rsidR="00960983">
        <w:t xml:space="preserve"> given</w:t>
      </w:r>
      <w:r w:rsidR="000F63ED">
        <w:t xml:space="preserve"> surplus level.</w:t>
      </w:r>
    </w:p>
    <w:p w14:paraId="4506C821" w14:textId="07CC9B1B" w:rsidR="00A37A6D" w:rsidRDefault="003306D1" w:rsidP="00385DDD">
      <w:pPr>
        <w:pStyle w:val="rptmainbodyheading4"/>
      </w:pPr>
      <w:r>
        <w:t xml:space="preserve">Pay for Performance </w:t>
      </w:r>
      <w:r w:rsidR="00716C13">
        <w:t xml:space="preserve">and </w:t>
      </w:r>
      <w:r w:rsidR="003D2864">
        <w:t xml:space="preserve">Reserve Shortage </w:t>
      </w:r>
      <w:r w:rsidR="00716C13">
        <w:t>Revenues</w:t>
      </w:r>
    </w:p>
    <w:p w14:paraId="37CDC85C" w14:textId="7809B5F5" w:rsidR="007815CB" w:rsidRDefault="00C934E2">
      <w:pPr>
        <w:pStyle w:val="rptmainbodytext"/>
      </w:pPr>
      <w:r>
        <w:t>In addition to the EAS revenues</w:t>
      </w:r>
      <w:r w:rsidR="00901712">
        <w:t xml:space="preserve"> discussed in the previous section</w:t>
      </w:r>
      <w:r>
        <w:t>, t</w:t>
      </w:r>
      <w:r w:rsidR="000E60D2">
        <w:t xml:space="preserve">he </w:t>
      </w:r>
      <w:r w:rsidR="00B842D4">
        <w:t>R</w:t>
      </w:r>
      <w:r w:rsidR="000E60D2">
        <w:t xml:space="preserve">eference </w:t>
      </w:r>
      <w:r w:rsidR="00B842D4">
        <w:t>U</w:t>
      </w:r>
      <w:r w:rsidR="000E60D2">
        <w:t xml:space="preserve">nit could receive </w:t>
      </w:r>
      <w:r w:rsidR="00B43309">
        <w:t>the following</w:t>
      </w:r>
      <w:r w:rsidR="000E60D2">
        <w:t xml:space="preserve"> </w:t>
      </w:r>
      <w:r w:rsidR="002B0EB7">
        <w:t>streams of revenues</w:t>
      </w:r>
      <w:r w:rsidR="000E60D2">
        <w:t xml:space="preserve"> </w:t>
      </w:r>
      <w:r w:rsidR="00740796">
        <w:t>during</w:t>
      </w:r>
      <w:r w:rsidR="00A8524A">
        <w:t xml:space="preserve"> reserve</w:t>
      </w:r>
      <w:r w:rsidR="00740796">
        <w:t xml:space="preserve"> shortage hours: (a) </w:t>
      </w:r>
      <w:r w:rsidR="003306D1">
        <w:t>Pay for Performance</w:t>
      </w:r>
      <w:r w:rsidR="003306D1" w:rsidDel="00740796">
        <w:t xml:space="preserve"> </w:t>
      </w:r>
      <w:r w:rsidR="003306D1">
        <w:t>(“</w:t>
      </w:r>
      <w:r w:rsidR="007843F6">
        <w:t>PFP</w:t>
      </w:r>
      <w:r w:rsidR="003306D1">
        <w:t>”)</w:t>
      </w:r>
      <w:r w:rsidR="007843F6">
        <w:t xml:space="preserve"> revenues</w:t>
      </w:r>
      <w:r w:rsidR="000E3A1A">
        <w:t>,</w:t>
      </w:r>
      <w:r w:rsidR="007843F6">
        <w:t xml:space="preserve"> when it</w:t>
      </w:r>
      <w:r w:rsidR="00E427BB">
        <w:t xml:space="preserve"> </w:t>
      </w:r>
      <w:r w:rsidR="002D334B">
        <w:t>performs</w:t>
      </w:r>
      <w:r w:rsidR="008971B3">
        <w:t xml:space="preserve"> better than </w:t>
      </w:r>
      <w:r w:rsidR="0050740E">
        <w:t>the average resource</w:t>
      </w:r>
      <w:r w:rsidR="00740796">
        <w:t xml:space="preserve">, and (b) </w:t>
      </w:r>
      <w:r w:rsidR="000E3A1A">
        <w:t xml:space="preserve">additional </w:t>
      </w:r>
      <w:r w:rsidR="00F67BE7">
        <w:t>energy</w:t>
      </w:r>
      <w:r w:rsidR="00740796">
        <w:t xml:space="preserve"> and </w:t>
      </w:r>
      <w:r w:rsidR="00F67BE7">
        <w:t xml:space="preserve">reserve </w:t>
      </w:r>
      <w:r w:rsidR="00740796">
        <w:t xml:space="preserve">revenues </w:t>
      </w:r>
      <w:r w:rsidR="009F2A20">
        <w:t>(</w:t>
      </w:r>
      <w:r w:rsidR="00B62511">
        <w:t xml:space="preserve">i.e., </w:t>
      </w:r>
      <w:r w:rsidR="00D74FF4">
        <w:t xml:space="preserve">shortage </w:t>
      </w:r>
      <w:r w:rsidR="00B62511">
        <w:t>revenues</w:t>
      </w:r>
      <w:r w:rsidR="009F2A20">
        <w:t xml:space="preserve">) </w:t>
      </w:r>
      <w:r>
        <w:t>due to</w:t>
      </w:r>
      <w:r w:rsidR="00540E9B">
        <w:t xml:space="preserve"> the portion of </w:t>
      </w:r>
      <w:r w:rsidR="007D3FB6">
        <w:t xml:space="preserve">the </w:t>
      </w:r>
      <w:r w:rsidR="00540E9B">
        <w:t xml:space="preserve">LMP </w:t>
      </w:r>
      <w:r w:rsidR="007D3FB6">
        <w:t xml:space="preserve">that corresponds to </w:t>
      </w:r>
      <w:r w:rsidR="00F67BE7">
        <w:t>the</w:t>
      </w:r>
      <w:r w:rsidR="00317AF8">
        <w:t xml:space="preserve"> RCPF</w:t>
      </w:r>
      <w:r w:rsidR="00F67BE7">
        <w:t>.</w:t>
      </w:r>
      <w:r w:rsidR="006C5E68">
        <w:t xml:space="preserve">  </w:t>
      </w:r>
      <w:r w:rsidR="00661619">
        <w:t>We estimated t</w:t>
      </w:r>
      <w:r w:rsidR="00BE1D78">
        <w:t>he</w:t>
      </w:r>
      <w:r w:rsidR="002461BA">
        <w:t>se</w:t>
      </w:r>
      <w:r w:rsidR="00BE1D78">
        <w:t xml:space="preserve"> </w:t>
      </w:r>
      <w:r w:rsidR="007815CB">
        <w:t>revenue</w:t>
      </w:r>
      <w:r w:rsidR="002D42C4">
        <w:t xml:space="preserve">s in each realization </w:t>
      </w:r>
      <w:r w:rsidR="00661619">
        <w:t>using</w:t>
      </w:r>
      <w:r w:rsidR="00B01EC7">
        <w:t xml:space="preserve"> </w:t>
      </w:r>
      <w:r w:rsidR="006C5E68">
        <w:t xml:space="preserve">the following </w:t>
      </w:r>
      <w:r w:rsidR="00B01EC7">
        <w:t>parameters:</w:t>
      </w:r>
    </w:p>
    <w:p w14:paraId="1D80F715" w14:textId="77777777" w:rsidR="003835A5" w:rsidRDefault="00C83496" w:rsidP="009037DC">
      <w:pPr>
        <w:pStyle w:val="rptmainbodybullets1"/>
      </w:pPr>
      <w:r>
        <w:t xml:space="preserve">The number of </w:t>
      </w:r>
      <w:r w:rsidR="00FF0B0F">
        <w:t xml:space="preserve">reserve </w:t>
      </w:r>
      <w:r>
        <w:t>shortage hours</w:t>
      </w:r>
      <w:r w:rsidR="003A7661">
        <w:t xml:space="preserve"> </w:t>
      </w:r>
      <w:r w:rsidR="00204F6B">
        <w:t xml:space="preserve">(“H”) </w:t>
      </w:r>
      <w:r w:rsidR="003A7661">
        <w:t xml:space="preserve">in </w:t>
      </w:r>
      <w:r w:rsidR="002D42C4">
        <w:t>the realization</w:t>
      </w:r>
      <w:r w:rsidR="00DF46A5">
        <w:t xml:space="preserve">.  The distribution of H depends on the capacity surplus.  </w:t>
      </w:r>
    </w:p>
    <w:p w14:paraId="0D8BC859" w14:textId="587956B6" w:rsidR="008F3C99" w:rsidRDefault="00D150BF" w:rsidP="003835A5">
      <w:pPr>
        <w:pStyle w:val="rptmainbodybullets1"/>
        <w:numPr>
          <w:ilvl w:val="1"/>
          <w:numId w:val="5"/>
        </w:numPr>
      </w:pPr>
      <w:r>
        <w:fldChar w:fldCharType="begin"/>
      </w:r>
      <w:r>
        <w:instrText xml:space="preserve"> REF _Ref86065058 \h </w:instrText>
      </w:r>
      <w:r>
        <w:fldChar w:fldCharType="separate"/>
      </w:r>
      <w:r>
        <w:t xml:space="preserve">Figure </w:t>
      </w:r>
      <w:r>
        <w:rPr>
          <w:noProof/>
        </w:rPr>
        <w:t>13</w:t>
      </w:r>
      <w:r>
        <w:fldChar w:fldCharType="end"/>
      </w:r>
      <w:r>
        <w:t xml:space="preserve"> </w:t>
      </w:r>
      <w:r w:rsidR="005A0030">
        <w:t>shows</w:t>
      </w:r>
      <w:r w:rsidR="008F3C99">
        <w:t xml:space="preserve"> the </w:t>
      </w:r>
      <w:r w:rsidR="003A734A">
        <w:t xml:space="preserve">distribution of </w:t>
      </w:r>
      <w:r w:rsidR="003D3FC2">
        <w:t>H as a function of the capacity surplus.</w:t>
      </w:r>
      <w:r w:rsidR="0014361F">
        <w:t xml:space="preserve">  We estimate the H in each realization using (a) the capacity surplus in the realization, and (b) the average of three random draws from the distribution for H at that level of surplus.</w:t>
      </w:r>
    </w:p>
    <w:p w14:paraId="7301C8D9" w14:textId="69DB049E" w:rsidR="003835A5" w:rsidRDefault="005972F5" w:rsidP="00D212EA">
      <w:pPr>
        <w:pStyle w:val="rptmainbodybullets1"/>
        <w:numPr>
          <w:ilvl w:val="1"/>
          <w:numId w:val="5"/>
        </w:numPr>
      </w:pPr>
      <w:r>
        <w:lastRenderedPageBreak/>
        <w:t xml:space="preserve">We assume that the relationship between H and the capacity surplus is consistent with the </w:t>
      </w:r>
      <w:r w:rsidRPr="0098562D">
        <w:t xml:space="preserve">results of the ISO’s study on </w:t>
      </w:r>
      <w:r w:rsidRPr="00165980">
        <w:rPr>
          <w:i/>
          <w:iCs/>
        </w:rPr>
        <w:t>Estimated Hours of System Operating Reserve Deficiencies</w:t>
      </w:r>
      <w:r w:rsidRPr="0098562D">
        <w:t xml:space="preserve"> for FCA-15</w:t>
      </w:r>
      <w:r>
        <w:t>.</w:t>
      </w:r>
      <w:r>
        <w:rPr>
          <w:rStyle w:val="FootnoteReference"/>
        </w:rPr>
        <w:footnoteReference w:id="34"/>
      </w:r>
      <w:r w:rsidRPr="00C61C5E">
        <w:rPr>
          <w:vertAlign w:val="superscript"/>
        </w:rPr>
        <w:t>,</w:t>
      </w:r>
      <w:r>
        <w:rPr>
          <w:rStyle w:val="FootnoteReference"/>
        </w:rPr>
        <w:footnoteReference w:id="35"/>
      </w:r>
    </w:p>
    <w:p w14:paraId="4A7B3895" w14:textId="1FA89C6A" w:rsidR="003D3FC2" w:rsidRDefault="009E5545" w:rsidP="00C61C5E">
      <w:pPr>
        <w:pStyle w:val="rptmainbodyfiguretitle1"/>
      </w:pPr>
      <w:bookmarkStart w:id="944" w:name="_Ref86065058"/>
      <w:bookmarkStart w:id="945" w:name="_Toc86727542"/>
      <w:r>
        <w:t xml:space="preserve">Figure </w:t>
      </w:r>
      <w:r>
        <w:fldChar w:fldCharType="begin"/>
      </w:r>
      <w:r>
        <w:instrText>SEQ Figure \* ARABIC</w:instrText>
      </w:r>
      <w:r>
        <w:fldChar w:fldCharType="separate"/>
      </w:r>
      <w:r w:rsidR="00401666">
        <w:rPr>
          <w:noProof/>
        </w:rPr>
        <w:t>13</w:t>
      </w:r>
      <w:r>
        <w:fldChar w:fldCharType="end"/>
      </w:r>
      <w:bookmarkEnd w:id="944"/>
      <w:r>
        <w:t>:</w:t>
      </w:r>
      <w:r w:rsidR="003D3FC2">
        <w:t xml:space="preserve"> </w:t>
      </w:r>
      <w:r w:rsidR="00C35C05" w:rsidRPr="00C35C05">
        <w:t>Estimated Hours of System Operating Reserve Deficiencies for 2024/25</w:t>
      </w:r>
      <w:bookmarkEnd w:id="945"/>
    </w:p>
    <w:p w14:paraId="5DBE2B1D" w14:textId="5EDFD109" w:rsidR="008F3C99" w:rsidRDefault="008F3C99" w:rsidP="00C61C5E">
      <w:pPr>
        <w:pStyle w:val="rptappendixfigure"/>
      </w:pPr>
      <w:r w:rsidRPr="008F3C99">
        <w:rPr>
          <w:noProof/>
        </w:rPr>
        <w:drawing>
          <wp:inline distT="0" distB="0" distL="0" distR="0" wp14:anchorId="473D1D69" wp14:editId="474E2269">
            <wp:extent cx="5486400" cy="3573454"/>
            <wp:effectExtent l="0" t="0" r="0" b="8255"/>
            <wp:docPr id="41" name="Picture 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rotWithShape="1">
                    <a:blip r:embed="rId43" cstate="print">
                      <a:extLst>
                        <a:ext uri="{28A0092B-C50C-407E-A947-70E740481C1C}">
                          <a14:useLocalDpi xmlns:a14="http://schemas.microsoft.com/office/drawing/2010/main" val="0"/>
                        </a:ext>
                      </a:extLst>
                    </a:blip>
                    <a:srcRect l="2030" r="5555"/>
                    <a:stretch/>
                  </pic:blipFill>
                  <pic:spPr bwMode="auto">
                    <a:xfrm>
                      <a:off x="0" y="0"/>
                      <a:ext cx="5506650" cy="3586643"/>
                    </a:xfrm>
                    <a:prstGeom prst="rect">
                      <a:avLst/>
                    </a:prstGeom>
                    <a:noFill/>
                    <a:ln>
                      <a:noFill/>
                    </a:ln>
                    <a:extLst>
                      <a:ext uri="{53640926-AAD7-44D8-BBD7-CCE9431645EC}">
                        <a14:shadowObscured xmlns:a14="http://schemas.microsoft.com/office/drawing/2010/main"/>
                      </a:ext>
                    </a:extLst>
                  </pic:spPr>
                </pic:pic>
              </a:graphicData>
            </a:graphic>
          </wp:inline>
        </w:drawing>
      </w:r>
    </w:p>
    <w:p w14:paraId="18213B6F" w14:textId="19BC1E11" w:rsidR="006C5E68" w:rsidRDefault="003A7661" w:rsidP="00D212EA">
      <w:pPr>
        <w:pStyle w:val="rptmainbodybullets1"/>
        <w:spacing w:before="240"/>
      </w:pPr>
      <w:r>
        <w:t xml:space="preserve">The </w:t>
      </w:r>
      <w:r w:rsidR="003D47D5">
        <w:t>RCPF</w:t>
      </w:r>
      <w:r w:rsidR="00DF46A5">
        <w:t xml:space="preserve">.  Our </w:t>
      </w:r>
      <w:r w:rsidR="004B6EC9">
        <w:t xml:space="preserve">assumed value </w:t>
      </w:r>
      <w:r w:rsidR="00DF46A5">
        <w:t xml:space="preserve">for </w:t>
      </w:r>
      <w:r w:rsidR="004B6EC9">
        <w:t xml:space="preserve">the </w:t>
      </w:r>
      <w:r w:rsidR="00DF46A5">
        <w:t xml:space="preserve">RCPF </w:t>
      </w:r>
      <w:r w:rsidR="0021003B">
        <w:t xml:space="preserve">($1000/MWh) </w:t>
      </w:r>
      <w:r w:rsidR="00586BDF">
        <w:t>is</w:t>
      </w:r>
      <w:r w:rsidR="00DF46A5">
        <w:t xml:space="preserve"> consistent with the value</w:t>
      </w:r>
      <w:r w:rsidR="004B6EC9">
        <w:t xml:space="preserve"> </w:t>
      </w:r>
      <w:r w:rsidR="00DF46A5">
        <w:t xml:space="preserve">used in the CONE study.  </w:t>
      </w:r>
    </w:p>
    <w:p w14:paraId="2E06D000" w14:textId="77777777" w:rsidR="00EF2BF6" w:rsidRDefault="00EF2BF6" w:rsidP="00D212EA">
      <w:pPr>
        <w:pStyle w:val="rptmainbodybullets1"/>
        <w:spacing w:before="240"/>
      </w:pPr>
      <w:r>
        <w:t>The performance of the unit during shortage events (“A”) and the average balancing ratio (“Br”).  Our assumptions for A and Br are consistent with the values used in the CONE study.</w:t>
      </w:r>
    </w:p>
    <w:p w14:paraId="21A40A98" w14:textId="67E85BE7" w:rsidR="005201F6" w:rsidRDefault="006C5E68" w:rsidP="00D212EA">
      <w:pPr>
        <w:pStyle w:val="rptmainbodybullets1"/>
        <w:spacing w:before="240"/>
        <w:rPr>
          <w:lang w:eastAsia="zh-CN"/>
        </w:rPr>
      </w:pPr>
      <w:r>
        <w:lastRenderedPageBreak/>
        <w:t xml:space="preserve">The Performance Payment Rate (“PPR”).  </w:t>
      </w:r>
      <w:r w:rsidR="00DF46A5" w:rsidRPr="00123186">
        <w:t>We</w:t>
      </w:r>
      <w:r w:rsidR="001414C1">
        <w:t xml:space="preserve"> utilized a PPR value that we developed by</w:t>
      </w:r>
      <w:r w:rsidR="00DF46A5" w:rsidRPr="00123186">
        <w:t xml:space="preserve"> adjust</w:t>
      </w:r>
      <w:r w:rsidR="001414C1">
        <w:t>ing</w:t>
      </w:r>
      <w:r w:rsidR="00DF46A5" w:rsidRPr="00123186">
        <w:t xml:space="preserve"> the PPR </w:t>
      </w:r>
      <w:r w:rsidR="00C04E40">
        <w:t>developed for FCA-1</w:t>
      </w:r>
      <w:r w:rsidR="009C1822">
        <w:t>6 by (a) inflating the PPR to 2030$, and (b)</w:t>
      </w:r>
      <w:r w:rsidR="00C04E40">
        <w:t xml:space="preserve"> </w:t>
      </w:r>
      <w:r w:rsidR="00F46EB9">
        <w:t>adjusting</w:t>
      </w:r>
      <w:r w:rsidR="00A71202">
        <w:t xml:space="preserve"> the resulting value </w:t>
      </w:r>
      <w:r w:rsidR="005A6D28">
        <w:t>using</w:t>
      </w:r>
      <w:r w:rsidR="00A71202">
        <w:t xml:space="preserve"> the ratio of </w:t>
      </w:r>
      <w:r w:rsidR="00DF46A5" w:rsidRPr="00123186">
        <w:t>H</w:t>
      </w:r>
      <w:r w:rsidR="00DF46A5">
        <w:t xml:space="preserve"> used</w:t>
      </w:r>
      <w:r w:rsidR="00DF46A5" w:rsidRPr="00123186">
        <w:t xml:space="preserve"> in the CONE study and the </w:t>
      </w:r>
      <w:r w:rsidR="00010D0D">
        <w:t xml:space="preserve">mean </w:t>
      </w:r>
      <w:r w:rsidR="00DF46A5" w:rsidRPr="00123186">
        <w:t>H</w:t>
      </w:r>
      <w:r w:rsidR="0069543D">
        <w:t xml:space="preserve"> for </w:t>
      </w:r>
      <w:r w:rsidR="00010D0D">
        <w:t>FCA</w:t>
      </w:r>
      <w:r w:rsidR="003001D2">
        <w:t>-15</w:t>
      </w:r>
      <w:r w:rsidR="00010D0D">
        <w:t>’s Capacity Commitment Period</w:t>
      </w:r>
      <w:r w:rsidR="00A45A24">
        <w:t>.</w:t>
      </w:r>
      <w:r w:rsidR="009C0D84">
        <w:rPr>
          <w:rStyle w:val="FootnoteReference"/>
        </w:rPr>
        <w:footnoteReference w:id="36"/>
      </w:r>
    </w:p>
    <w:p w14:paraId="746E3C66" w14:textId="77777777" w:rsidR="00F2309A" w:rsidRDefault="00F2309A">
      <w:pPr>
        <w:pStyle w:val="rptmainbodyheading3"/>
      </w:pPr>
      <w:r>
        <w:t>Financial Inputs</w:t>
      </w:r>
    </w:p>
    <w:p w14:paraId="441016D5" w14:textId="090647DE" w:rsidR="00F2309A" w:rsidRDefault="00F2309A" w:rsidP="00F2309A">
      <w:pPr>
        <w:pStyle w:val="rptmainbodytext"/>
      </w:pPr>
      <w:r>
        <w:t xml:space="preserve">The estimation of COE and COD relies a number of financial assumptions.  These include CAPM parameters (CAPM betas, risk free rate, market risk premium), cost of debt and capital structure for merchant and regulated entities, bond yields by rating, tax rates, etc.  To the extent applicable, we utilized data from the CONE study for many of these parameters.  We have posted supplemental spreadsheets that detail the </w:t>
      </w:r>
      <w:r w:rsidR="000957DD">
        <w:t xml:space="preserve">values that we used for these parameters </w:t>
      </w:r>
      <w:r>
        <w:t xml:space="preserve">and </w:t>
      </w:r>
      <w:r w:rsidR="000957DD">
        <w:t xml:space="preserve">the </w:t>
      </w:r>
      <w:r>
        <w:t>source</w:t>
      </w:r>
      <w:r w:rsidR="000957DD">
        <w:t>s</w:t>
      </w:r>
      <w:r>
        <w:t xml:space="preserve"> </w:t>
      </w:r>
      <w:r w:rsidR="000957DD">
        <w:t>for each of them</w:t>
      </w:r>
      <w:r>
        <w:t>.</w:t>
      </w:r>
      <w:r w:rsidR="000957DD">
        <w:rPr>
          <w:rStyle w:val="FootnoteReference"/>
        </w:rPr>
        <w:footnoteReference w:id="37"/>
      </w:r>
    </w:p>
    <w:p w14:paraId="0C4A7BE8" w14:textId="1505FC12" w:rsidR="00A37A6D" w:rsidRDefault="00A37A6D" w:rsidP="006C15FA">
      <w:pPr>
        <w:pStyle w:val="rptmainbodyfigure"/>
        <w:rPr>
          <w:lang w:eastAsia="zh-CN"/>
        </w:rPr>
        <w:sectPr w:rsidR="00A37A6D" w:rsidSect="00936145">
          <w:headerReference w:type="even" r:id="rId44"/>
          <w:headerReference w:type="default" r:id="rId45"/>
          <w:type w:val="oddPage"/>
          <w:pgSz w:w="12240" w:h="15840" w:code="1"/>
          <w:pgMar w:top="1440" w:right="1440" w:bottom="1440" w:left="1440" w:header="720" w:footer="720" w:gutter="0"/>
          <w:cols w:space="720"/>
          <w:docGrid w:linePitch="360"/>
        </w:sectPr>
      </w:pPr>
    </w:p>
    <w:p w14:paraId="710E36B7" w14:textId="7A7262AE" w:rsidR="00BC1960" w:rsidRDefault="00327339" w:rsidP="00BE30BC">
      <w:pPr>
        <w:pStyle w:val="rptmainbodyheading1"/>
      </w:pPr>
      <w:bookmarkStart w:id="946" w:name="_Ref84237808"/>
      <w:bookmarkStart w:id="947" w:name="_Toc86419528"/>
      <w:r>
        <w:lastRenderedPageBreak/>
        <w:t>Results</w:t>
      </w:r>
      <w:r w:rsidR="00457481">
        <w:t xml:space="preserve"> and Conclusions</w:t>
      </w:r>
      <w:bookmarkEnd w:id="946"/>
      <w:bookmarkEnd w:id="947"/>
    </w:p>
    <w:p w14:paraId="3327687D" w14:textId="657F822F" w:rsidR="00492090" w:rsidRDefault="002B601F" w:rsidP="0031212D">
      <w:pPr>
        <w:pStyle w:val="rptmainbodytext"/>
        <w:rPr>
          <w:lang w:eastAsia="zh-CN"/>
        </w:rPr>
      </w:pPr>
      <w:r>
        <w:rPr>
          <w:lang w:eastAsia="zh-CN"/>
        </w:rPr>
        <w:t>Using</w:t>
      </w:r>
      <w:r w:rsidR="003843CA">
        <w:rPr>
          <w:lang w:eastAsia="zh-CN"/>
        </w:rPr>
        <w:t xml:space="preserve"> the modeling approach </w:t>
      </w:r>
      <w:r w:rsidR="001E27AF">
        <w:rPr>
          <w:lang w:eastAsia="zh-CN"/>
        </w:rPr>
        <w:t xml:space="preserve">discussed in Section </w:t>
      </w:r>
      <w:r w:rsidR="00EB31D4">
        <w:rPr>
          <w:lang w:eastAsia="zh-CN"/>
        </w:rPr>
        <w:fldChar w:fldCharType="begin"/>
      </w:r>
      <w:r w:rsidR="00EB31D4">
        <w:rPr>
          <w:lang w:eastAsia="zh-CN"/>
        </w:rPr>
        <w:instrText xml:space="preserve"> REF _Ref84237600 \n \h </w:instrText>
      </w:r>
      <w:r w:rsidR="00EB31D4">
        <w:rPr>
          <w:lang w:eastAsia="zh-CN"/>
        </w:rPr>
      </w:r>
      <w:r w:rsidR="00EB31D4">
        <w:rPr>
          <w:lang w:eastAsia="zh-CN"/>
        </w:rPr>
        <w:fldChar w:fldCharType="separate"/>
      </w:r>
      <w:r w:rsidR="00EB31D4">
        <w:rPr>
          <w:lang w:eastAsia="zh-CN"/>
        </w:rPr>
        <w:t>III</w:t>
      </w:r>
      <w:r w:rsidR="00EB31D4">
        <w:rPr>
          <w:lang w:eastAsia="zh-CN"/>
        </w:rPr>
        <w:fldChar w:fldCharType="end"/>
      </w:r>
      <w:r w:rsidR="001E27AF">
        <w:rPr>
          <w:lang w:eastAsia="zh-CN"/>
        </w:rPr>
        <w:t xml:space="preserve"> and the inputs described in Section </w:t>
      </w:r>
      <w:r w:rsidR="00EB31D4">
        <w:rPr>
          <w:lang w:eastAsia="zh-CN"/>
        </w:rPr>
        <w:fldChar w:fldCharType="begin"/>
      </w:r>
      <w:r w:rsidR="00EB31D4">
        <w:rPr>
          <w:lang w:eastAsia="zh-CN"/>
        </w:rPr>
        <w:instrText xml:space="preserve"> REF _Ref84237667 \n \h </w:instrText>
      </w:r>
      <w:r w:rsidR="00EB31D4">
        <w:rPr>
          <w:lang w:eastAsia="zh-CN"/>
        </w:rPr>
      </w:r>
      <w:r w:rsidR="00EB31D4">
        <w:rPr>
          <w:lang w:eastAsia="zh-CN"/>
        </w:rPr>
        <w:fldChar w:fldCharType="separate"/>
      </w:r>
      <w:r w:rsidR="00EB31D4">
        <w:rPr>
          <w:lang w:eastAsia="zh-CN"/>
        </w:rPr>
        <w:t>IV</w:t>
      </w:r>
      <w:r w:rsidR="00EB31D4">
        <w:rPr>
          <w:lang w:eastAsia="zh-CN"/>
        </w:rPr>
        <w:fldChar w:fldCharType="end"/>
      </w:r>
      <w:r w:rsidR="001E27AF">
        <w:rPr>
          <w:lang w:eastAsia="zh-CN"/>
        </w:rPr>
        <w:t xml:space="preserve">, we </w:t>
      </w:r>
      <w:r w:rsidR="00DD3C47">
        <w:rPr>
          <w:lang w:eastAsia="zh-CN"/>
        </w:rPr>
        <w:t>estimate</w:t>
      </w:r>
      <w:r w:rsidR="00B35185">
        <w:rPr>
          <w:lang w:eastAsia="zh-CN"/>
        </w:rPr>
        <w:t>d how changes in the MOPR rules would be expected to affect financial risk for a</w:t>
      </w:r>
      <w:r w:rsidR="00715877">
        <w:rPr>
          <w:lang w:eastAsia="zh-CN"/>
        </w:rPr>
        <w:t xml:space="preserve"> </w:t>
      </w:r>
      <w:r w:rsidR="00AC16FB">
        <w:rPr>
          <w:lang w:eastAsia="zh-CN"/>
        </w:rPr>
        <w:t>merchant</w:t>
      </w:r>
      <w:r w:rsidR="00B35185">
        <w:rPr>
          <w:lang w:eastAsia="zh-CN"/>
        </w:rPr>
        <w:t xml:space="preserve"> investor. </w:t>
      </w:r>
      <w:r w:rsidR="00DD3C47">
        <w:rPr>
          <w:lang w:eastAsia="zh-CN"/>
        </w:rPr>
        <w:t xml:space="preserve"> </w:t>
      </w:r>
      <w:r w:rsidR="0031212D">
        <w:rPr>
          <w:lang w:eastAsia="zh-CN"/>
        </w:rPr>
        <w:t>This section provides an overview of the</w:t>
      </w:r>
      <w:r w:rsidR="00715A15">
        <w:rPr>
          <w:lang w:eastAsia="zh-CN"/>
        </w:rPr>
        <w:t xml:space="preserve"> results </w:t>
      </w:r>
      <w:r w:rsidR="00611CBD">
        <w:rPr>
          <w:lang w:eastAsia="zh-CN"/>
        </w:rPr>
        <w:t>of our analysis</w:t>
      </w:r>
      <w:r w:rsidR="00C94207">
        <w:rPr>
          <w:lang w:eastAsia="zh-CN"/>
        </w:rPr>
        <w:t xml:space="preserve">, including the </w:t>
      </w:r>
      <w:r w:rsidR="000A5012">
        <w:rPr>
          <w:lang w:eastAsia="zh-CN"/>
        </w:rPr>
        <w:t xml:space="preserve">estimated effects on the </w:t>
      </w:r>
      <w:r w:rsidR="00C94207">
        <w:rPr>
          <w:lang w:eastAsia="zh-CN"/>
        </w:rPr>
        <w:t xml:space="preserve">cost of capital used in </w:t>
      </w:r>
      <w:r w:rsidR="00E51DD1">
        <w:rPr>
          <w:lang w:eastAsia="zh-CN"/>
        </w:rPr>
        <w:t>setting the capacity demand curve.</w:t>
      </w:r>
      <w:r w:rsidR="00482246">
        <w:rPr>
          <w:lang w:eastAsia="zh-CN"/>
        </w:rPr>
        <w:t xml:space="preserve"> </w:t>
      </w:r>
      <w:r w:rsidR="00A25E6D">
        <w:rPr>
          <w:lang w:eastAsia="zh-CN"/>
        </w:rPr>
        <w:t xml:space="preserve"> S</w:t>
      </w:r>
      <w:r w:rsidR="00BA0854">
        <w:rPr>
          <w:lang w:eastAsia="zh-CN"/>
        </w:rPr>
        <w:t xml:space="preserve">ubsection </w:t>
      </w:r>
      <w:r w:rsidR="00BA0854">
        <w:rPr>
          <w:lang w:eastAsia="zh-CN"/>
        </w:rPr>
        <w:fldChar w:fldCharType="begin"/>
      </w:r>
      <w:r w:rsidR="00BA0854">
        <w:rPr>
          <w:lang w:eastAsia="zh-CN"/>
        </w:rPr>
        <w:instrText xml:space="preserve"> REF _Ref85456765 \r \h </w:instrText>
      </w:r>
      <w:r w:rsidR="00BA0854">
        <w:rPr>
          <w:lang w:eastAsia="zh-CN"/>
        </w:rPr>
      </w:r>
      <w:r w:rsidR="00BA0854">
        <w:rPr>
          <w:lang w:eastAsia="zh-CN"/>
        </w:rPr>
        <w:fldChar w:fldCharType="separate"/>
      </w:r>
      <w:r w:rsidR="00BA0854">
        <w:rPr>
          <w:lang w:eastAsia="zh-CN"/>
        </w:rPr>
        <w:t>A</w:t>
      </w:r>
      <w:r w:rsidR="00BA0854">
        <w:rPr>
          <w:lang w:eastAsia="zh-CN"/>
        </w:rPr>
        <w:fldChar w:fldCharType="end"/>
      </w:r>
      <w:r w:rsidR="00A25E6D">
        <w:rPr>
          <w:lang w:eastAsia="zh-CN"/>
        </w:rPr>
        <w:t xml:space="preserve"> provides </w:t>
      </w:r>
      <w:r w:rsidR="001A1B92">
        <w:rPr>
          <w:lang w:eastAsia="zh-CN"/>
        </w:rPr>
        <w:t>detailed results</w:t>
      </w:r>
      <w:r w:rsidR="000608DA">
        <w:rPr>
          <w:lang w:eastAsia="zh-CN"/>
        </w:rPr>
        <w:t>.</w:t>
      </w:r>
      <w:r w:rsidR="00E20F4B">
        <w:rPr>
          <w:rStyle w:val="FootnoteReference"/>
          <w:lang w:eastAsia="zh-CN"/>
        </w:rPr>
        <w:footnoteReference w:id="38"/>
      </w:r>
      <w:r w:rsidR="00457481">
        <w:rPr>
          <w:lang w:eastAsia="zh-CN"/>
        </w:rPr>
        <w:t xml:space="preserve">  </w:t>
      </w:r>
      <w:r w:rsidR="006B6407">
        <w:rPr>
          <w:lang w:eastAsia="zh-CN"/>
        </w:rPr>
        <w:t>T</w:t>
      </w:r>
      <w:r w:rsidR="00BC44C5">
        <w:rPr>
          <w:lang w:eastAsia="zh-CN"/>
        </w:rPr>
        <w:t xml:space="preserve">he </w:t>
      </w:r>
      <w:r w:rsidR="006B6407">
        <w:rPr>
          <w:lang w:eastAsia="zh-CN"/>
        </w:rPr>
        <w:t xml:space="preserve">overall </w:t>
      </w:r>
      <w:r w:rsidR="00457481">
        <w:rPr>
          <w:lang w:eastAsia="zh-CN"/>
        </w:rPr>
        <w:t>conclusions</w:t>
      </w:r>
      <w:r w:rsidR="00BC44C5">
        <w:rPr>
          <w:lang w:eastAsia="zh-CN"/>
        </w:rPr>
        <w:t xml:space="preserve"> of our analysis </w:t>
      </w:r>
      <w:r w:rsidR="006B6407">
        <w:rPr>
          <w:lang w:eastAsia="zh-CN"/>
        </w:rPr>
        <w:t xml:space="preserve">are provided </w:t>
      </w:r>
      <w:r w:rsidR="00BC44C5">
        <w:rPr>
          <w:lang w:eastAsia="zh-CN"/>
        </w:rPr>
        <w:t xml:space="preserve">in subsection </w:t>
      </w:r>
      <w:r w:rsidR="007F2CCA">
        <w:rPr>
          <w:lang w:eastAsia="zh-CN"/>
        </w:rPr>
        <w:fldChar w:fldCharType="begin"/>
      </w:r>
      <w:r w:rsidR="007F2CCA">
        <w:rPr>
          <w:lang w:eastAsia="zh-CN"/>
        </w:rPr>
        <w:instrText xml:space="preserve"> REF _Ref85456769 \r \h </w:instrText>
      </w:r>
      <w:r w:rsidR="007F2CCA">
        <w:rPr>
          <w:lang w:eastAsia="zh-CN"/>
        </w:rPr>
      </w:r>
      <w:r w:rsidR="007F2CCA">
        <w:rPr>
          <w:lang w:eastAsia="zh-CN"/>
        </w:rPr>
        <w:fldChar w:fldCharType="separate"/>
      </w:r>
      <w:r w:rsidR="007F2CCA">
        <w:rPr>
          <w:lang w:eastAsia="zh-CN"/>
        </w:rPr>
        <w:t>B</w:t>
      </w:r>
      <w:r w:rsidR="007F2CCA">
        <w:rPr>
          <w:lang w:eastAsia="zh-CN"/>
        </w:rPr>
        <w:fldChar w:fldCharType="end"/>
      </w:r>
      <w:r w:rsidR="00BC44C5">
        <w:rPr>
          <w:lang w:eastAsia="zh-CN"/>
        </w:rPr>
        <w:t>.</w:t>
      </w:r>
    </w:p>
    <w:p w14:paraId="7A4C419D" w14:textId="66B46F29" w:rsidR="00457481" w:rsidRDefault="00457481" w:rsidP="00BC35F9">
      <w:pPr>
        <w:pStyle w:val="rptmainbodyheading2"/>
        <w:numPr>
          <w:ilvl w:val="0"/>
          <w:numId w:val="31"/>
        </w:numPr>
        <w:rPr>
          <w:lang w:eastAsia="zh-CN"/>
        </w:rPr>
      </w:pPr>
      <w:bookmarkStart w:id="948" w:name="_Ref85456765"/>
      <w:bookmarkStart w:id="949" w:name="_Toc86419529"/>
      <w:r>
        <w:rPr>
          <w:lang w:eastAsia="zh-CN"/>
        </w:rPr>
        <w:t>Results</w:t>
      </w:r>
      <w:bookmarkEnd w:id="948"/>
      <w:bookmarkEnd w:id="949"/>
    </w:p>
    <w:p w14:paraId="33197780" w14:textId="682E8F56" w:rsidR="001B19C9" w:rsidRDefault="001B19C9" w:rsidP="001B19C9">
      <w:pPr>
        <w:pStyle w:val="rptmainbodytext"/>
        <w:rPr>
          <w:lang w:eastAsia="zh-CN"/>
        </w:rPr>
      </w:pPr>
      <w:r>
        <w:rPr>
          <w:lang w:eastAsia="zh-CN"/>
        </w:rPr>
        <w:t xml:space="preserve">In this subsection, </w:t>
      </w:r>
      <w:r w:rsidR="00A0253B">
        <w:rPr>
          <w:lang w:eastAsia="zh-CN"/>
        </w:rPr>
        <w:t xml:space="preserve">we summarize </w:t>
      </w:r>
      <w:r w:rsidR="00A151A6">
        <w:rPr>
          <w:lang w:eastAsia="zh-CN"/>
        </w:rPr>
        <w:t>various intermediate</w:t>
      </w:r>
      <w:r w:rsidR="006C05D8">
        <w:rPr>
          <w:lang w:eastAsia="zh-CN"/>
        </w:rPr>
        <w:t xml:space="preserve"> modeling</w:t>
      </w:r>
      <w:r w:rsidR="00A151A6">
        <w:rPr>
          <w:lang w:eastAsia="zh-CN"/>
        </w:rPr>
        <w:t xml:space="preserve"> </w:t>
      </w:r>
      <w:r w:rsidR="00D5348C">
        <w:rPr>
          <w:lang w:eastAsia="zh-CN"/>
        </w:rPr>
        <w:t xml:space="preserve">results </w:t>
      </w:r>
      <w:r w:rsidR="00A151A6">
        <w:rPr>
          <w:lang w:eastAsia="zh-CN"/>
        </w:rPr>
        <w:t xml:space="preserve">that </w:t>
      </w:r>
      <w:r w:rsidR="007D773F">
        <w:rPr>
          <w:lang w:eastAsia="zh-CN"/>
        </w:rPr>
        <w:t>demonstrate</w:t>
      </w:r>
      <w:r w:rsidR="005D7974">
        <w:rPr>
          <w:lang w:eastAsia="zh-CN"/>
        </w:rPr>
        <w:t xml:space="preserve"> </w:t>
      </w:r>
      <w:r w:rsidR="007D773F">
        <w:rPr>
          <w:lang w:eastAsia="zh-CN"/>
        </w:rPr>
        <w:t xml:space="preserve">how we estimate the impact of MOPR elimination on </w:t>
      </w:r>
      <w:r w:rsidR="00140182">
        <w:rPr>
          <w:lang w:eastAsia="zh-CN"/>
        </w:rPr>
        <w:t>the ATWACC and Net CONE of the reference unit</w:t>
      </w:r>
      <w:r w:rsidR="005C2B13">
        <w:rPr>
          <w:lang w:eastAsia="zh-CN"/>
        </w:rPr>
        <w:t>. W</w:t>
      </w:r>
      <w:r>
        <w:rPr>
          <w:lang w:eastAsia="zh-CN"/>
        </w:rPr>
        <w:t>e discuss the following results</w:t>
      </w:r>
      <w:r w:rsidR="00243FB3">
        <w:rPr>
          <w:lang w:eastAsia="zh-CN"/>
        </w:rPr>
        <w:t xml:space="preserve"> </w:t>
      </w:r>
      <w:r w:rsidR="00B36E20">
        <w:rPr>
          <w:lang w:eastAsia="zh-CN"/>
        </w:rPr>
        <w:t>from</w:t>
      </w:r>
      <w:r w:rsidR="00243FB3">
        <w:rPr>
          <w:lang w:eastAsia="zh-CN"/>
        </w:rPr>
        <w:t xml:space="preserve"> our </w:t>
      </w:r>
      <w:r w:rsidR="00B36E20">
        <w:rPr>
          <w:lang w:eastAsia="zh-CN"/>
        </w:rPr>
        <w:t>analysis</w:t>
      </w:r>
      <w:r w:rsidR="005C2B13">
        <w:rPr>
          <w:lang w:eastAsia="zh-CN"/>
        </w:rPr>
        <w:t xml:space="preserve"> in the rest of this subsection</w:t>
      </w:r>
      <w:r>
        <w:rPr>
          <w:lang w:eastAsia="zh-CN"/>
        </w:rPr>
        <w:t>:</w:t>
      </w:r>
    </w:p>
    <w:p w14:paraId="3623C60C" w14:textId="22DB6384" w:rsidR="001B19C9" w:rsidRDefault="00515106" w:rsidP="00F50A72">
      <w:pPr>
        <w:pStyle w:val="rptmainbodybullets1"/>
        <w:rPr>
          <w:lang w:eastAsia="zh-CN"/>
        </w:rPr>
      </w:pPr>
      <w:r>
        <w:rPr>
          <w:lang w:eastAsia="zh-CN"/>
        </w:rPr>
        <w:t xml:space="preserve">Distribution of revenues under long-term equilibrium conditions in the MOPR and No MOPR cases </w:t>
      </w:r>
      <w:r w:rsidRPr="00F50A72">
        <w:rPr>
          <w:i/>
          <w:iCs/>
          <w:lang w:eastAsia="zh-CN"/>
        </w:rPr>
        <w:t>before</w:t>
      </w:r>
      <w:r>
        <w:rPr>
          <w:lang w:eastAsia="zh-CN"/>
        </w:rPr>
        <w:t xml:space="preserve"> WACC adjustment</w:t>
      </w:r>
    </w:p>
    <w:p w14:paraId="558571C1" w14:textId="28501C24" w:rsidR="00515106" w:rsidRDefault="00D23E27" w:rsidP="00F50A72">
      <w:pPr>
        <w:pStyle w:val="rptmainbodybullets1"/>
        <w:rPr>
          <w:lang w:eastAsia="zh-CN"/>
        </w:rPr>
      </w:pPr>
      <w:r>
        <w:rPr>
          <w:lang w:eastAsia="zh-CN"/>
        </w:rPr>
        <w:t>I</w:t>
      </w:r>
      <w:r w:rsidR="00417ECE">
        <w:rPr>
          <w:lang w:eastAsia="zh-CN"/>
        </w:rPr>
        <w:t xml:space="preserve">nitial </w:t>
      </w:r>
      <w:r w:rsidR="006678B3">
        <w:rPr>
          <w:lang w:eastAsia="zh-CN"/>
        </w:rPr>
        <w:t>estimates for</w:t>
      </w:r>
      <w:r w:rsidR="00417ECE">
        <w:rPr>
          <w:lang w:eastAsia="zh-CN"/>
        </w:rPr>
        <w:t xml:space="preserve"> COE and COD</w:t>
      </w:r>
      <w:r w:rsidR="00087B1F">
        <w:rPr>
          <w:lang w:eastAsia="zh-CN"/>
        </w:rPr>
        <w:t xml:space="preserve"> in the N</w:t>
      </w:r>
      <w:r w:rsidR="006678B3">
        <w:rPr>
          <w:lang w:eastAsia="zh-CN"/>
        </w:rPr>
        <w:t>o MOPR case</w:t>
      </w:r>
    </w:p>
    <w:p w14:paraId="7BE8AC27" w14:textId="57C0F98D" w:rsidR="00417ECE" w:rsidRDefault="00417ECE" w:rsidP="00F50A72">
      <w:pPr>
        <w:pStyle w:val="rptmainbodybullets1"/>
        <w:rPr>
          <w:lang w:eastAsia="zh-CN"/>
        </w:rPr>
      </w:pPr>
      <w:r>
        <w:rPr>
          <w:lang w:eastAsia="zh-CN"/>
        </w:rPr>
        <w:t xml:space="preserve">Iterations to determine </w:t>
      </w:r>
      <w:r w:rsidR="007F4EC8">
        <w:rPr>
          <w:lang w:eastAsia="zh-CN"/>
        </w:rPr>
        <w:t xml:space="preserve">final </w:t>
      </w:r>
      <w:r>
        <w:rPr>
          <w:lang w:eastAsia="zh-CN"/>
        </w:rPr>
        <w:t xml:space="preserve">COE and COD at </w:t>
      </w:r>
      <w:r w:rsidR="00E636EB">
        <w:rPr>
          <w:lang w:eastAsia="zh-CN"/>
        </w:rPr>
        <w:t>the default leverage ratio</w:t>
      </w:r>
    </w:p>
    <w:p w14:paraId="79EB44F5" w14:textId="5BCFA32C" w:rsidR="00417ECE" w:rsidRDefault="00D23E27" w:rsidP="00F50A72">
      <w:pPr>
        <w:pStyle w:val="rptmainbodybullets1"/>
        <w:rPr>
          <w:lang w:eastAsia="zh-CN"/>
        </w:rPr>
      </w:pPr>
      <w:r>
        <w:rPr>
          <w:lang w:eastAsia="zh-CN"/>
        </w:rPr>
        <w:t>O</w:t>
      </w:r>
      <w:r w:rsidR="00E636EB">
        <w:rPr>
          <w:lang w:eastAsia="zh-CN"/>
        </w:rPr>
        <w:t>ptimal leverage ratio</w:t>
      </w:r>
      <w:r w:rsidR="00752DFF">
        <w:rPr>
          <w:lang w:eastAsia="zh-CN"/>
        </w:rPr>
        <w:t xml:space="preserve"> and estimate</w:t>
      </w:r>
      <w:r w:rsidR="00B95A42">
        <w:rPr>
          <w:lang w:eastAsia="zh-CN"/>
        </w:rPr>
        <w:t>d</w:t>
      </w:r>
      <w:r w:rsidR="00752DFF">
        <w:rPr>
          <w:lang w:eastAsia="zh-CN"/>
        </w:rPr>
        <w:t xml:space="preserve"> final WACC for the No MOPR case</w:t>
      </w:r>
    </w:p>
    <w:p w14:paraId="3C6B05CF" w14:textId="77777777" w:rsidR="00E636EB" w:rsidRDefault="00966B97" w:rsidP="00F50A72">
      <w:pPr>
        <w:pStyle w:val="rptmainbodybullets1"/>
        <w:rPr>
          <w:lang w:eastAsia="zh-CN"/>
        </w:rPr>
      </w:pPr>
      <w:r>
        <w:rPr>
          <w:lang w:eastAsia="zh-CN"/>
        </w:rPr>
        <w:t>Estimat</w:t>
      </w:r>
      <w:r w:rsidR="00D23E27">
        <w:rPr>
          <w:lang w:eastAsia="zh-CN"/>
        </w:rPr>
        <w:t xml:space="preserve">ed Net CONE </w:t>
      </w:r>
      <w:r w:rsidR="00243FB3">
        <w:rPr>
          <w:lang w:eastAsia="zh-CN"/>
        </w:rPr>
        <w:t>in the No MOPR case</w:t>
      </w:r>
    </w:p>
    <w:p w14:paraId="4AC20764" w14:textId="6CBDB146" w:rsidR="0001022A" w:rsidRDefault="00335639" w:rsidP="00D212EA">
      <w:pPr>
        <w:pStyle w:val="rptmainbodyheading3"/>
        <w:numPr>
          <w:ilvl w:val="2"/>
          <w:numId w:val="41"/>
        </w:numPr>
        <w:rPr>
          <w:lang w:eastAsia="zh-CN"/>
        </w:rPr>
      </w:pPr>
      <w:r w:rsidRPr="00335639">
        <w:rPr>
          <w:lang w:eastAsia="zh-CN"/>
        </w:rPr>
        <w:t>Distribution of revenues in the MOPR and No MOPR cases before WACC adjustment</w:t>
      </w:r>
      <w:r w:rsidRPr="00335639" w:rsidDel="00335639">
        <w:rPr>
          <w:lang w:eastAsia="zh-CN"/>
        </w:rPr>
        <w:t xml:space="preserve"> </w:t>
      </w:r>
    </w:p>
    <w:p w14:paraId="6FC3B67C" w14:textId="303624CE" w:rsidR="004263B7" w:rsidRDefault="00D735FD" w:rsidP="00BC1960">
      <w:pPr>
        <w:pStyle w:val="rptmainbodytext"/>
        <w:rPr>
          <w:lang w:eastAsia="zh-CN"/>
        </w:rPr>
      </w:pPr>
      <w:r>
        <w:rPr>
          <w:lang w:eastAsia="zh-CN"/>
        </w:rPr>
        <w:fldChar w:fldCharType="begin"/>
      </w:r>
      <w:r>
        <w:rPr>
          <w:lang w:eastAsia="zh-CN"/>
        </w:rPr>
        <w:instrText xml:space="preserve"> REF _Ref86065100 \h </w:instrText>
      </w:r>
      <w:r>
        <w:rPr>
          <w:lang w:eastAsia="zh-CN"/>
        </w:rPr>
      </w:r>
      <w:r>
        <w:rPr>
          <w:lang w:eastAsia="zh-CN"/>
        </w:rPr>
        <w:fldChar w:fldCharType="separate"/>
      </w:r>
      <w:r>
        <w:t xml:space="preserve">Figure </w:t>
      </w:r>
      <w:r>
        <w:rPr>
          <w:noProof/>
        </w:rPr>
        <w:t>14</w:t>
      </w:r>
      <w:r>
        <w:rPr>
          <w:lang w:eastAsia="zh-CN"/>
        </w:rPr>
        <w:fldChar w:fldCharType="end"/>
      </w:r>
      <w:r w:rsidR="00D3426A">
        <w:rPr>
          <w:lang w:eastAsia="zh-CN"/>
        </w:rPr>
        <w:t xml:space="preserve"> </w:t>
      </w:r>
      <w:r w:rsidR="005E1355">
        <w:rPr>
          <w:lang w:eastAsia="zh-CN"/>
        </w:rPr>
        <w:t xml:space="preserve">shows the distribution of revenues to the reference unit </w:t>
      </w:r>
      <w:r w:rsidR="005266C1">
        <w:rPr>
          <w:lang w:eastAsia="zh-CN"/>
        </w:rPr>
        <w:t>across 2000 Monte Carlo realizations</w:t>
      </w:r>
      <w:r w:rsidR="002E0BD4">
        <w:rPr>
          <w:lang w:eastAsia="zh-CN"/>
        </w:rPr>
        <w:t xml:space="preserve"> in the MOPR and No MOPR cases</w:t>
      </w:r>
      <w:r w:rsidR="00CF126F">
        <w:rPr>
          <w:lang w:eastAsia="zh-CN"/>
        </w:rPr>
        <w:t xml:space="preserve"> under long-term equilibrium conditions</w:t>
      </w:r>
      <w:r w:rsidR="005E1355">
        <w:rPr>
          <w:lang w:eastAsia="zh-CN"/>
        </w:rPr>
        <w:t xml:space="preserve">.  </w:t>
      </w:r>
      <w:r w:rsidR="00F84739">
        <w:rPr>
          <w:lang w:eastAsia="zh-CN"/>
        </w:rPr>
        <w:t xml:space="preserve">The </w:t>
      </w:r>
      <w:r w:rsidR="00CA1FAD">
        <w:rPr>
          <w:lang w:eastAsia="zh-CN"/>
        </w:rPr>
        <w:t xml:space="preserve">chart </w:t>
      </w:r>
      <w:r w:rsidR="00F84739">
        <w:rPr>
          <w:lang w:eastAsia="zh-CN"/>
        </w:rPr>
        <w:t>show</w:t>
      </w:r>
      <w:r w:rsidR="00F402B8">
        <w:rPr>
          <w:lang w:eastAsia="zh-CN"/>
        </w:rPr>
        <w:t>s</w:t>
      </w:r>
      <w:r w:rsidR="00F84739">
        <w:rPr>
          <w:lang w:eastAsia="zh-CN"/>
        </w:rPr>
        <w:t xml:space="preserve"> the </w:t>
      </w:r>
      <w:r w:rsidR="005C0D60">
        <w:rPr>
          <w:lang w:eastAsia="zh-CN"/>
        </w:rPr>
        <w:t xml:space="preserve">percentage </w:t>
      </w:r>
      <w:r w:rsidR="00F84739">
        <w:rPr>
          <w:lang w:eastAsia="zh-CN"/>
        </w:rPr>
        <w:t xml:space="preserve">of </w:t>
      </w:r>
      <w:r w:rsidR="005C0D60">
        <w:rPr>
          <w:lang w:eastAsia="zh-CN"/>
        </w:rPr>
        <w:t xml:space="preserve">the total </w:t>
      </w:r>
      <w:r w:rsidR="00F84739">
        <w:rPr>
          <w:lang w:eastAsia="zh-CN"/>
        </w:rPr>
        <w:t>realization</w:t>
      </w:r>
      <w:r w:rsidR="00E26245">
        <w:rPr>
          <w:lang w:eastAsia="zh-CN"/>
        </w:rPr>
        <w:t>s</w:t>
      </w:r>
      <w:r w:rsidR="00F84739">
        <w:rPr>
          <w:lang w:eastAsia="zh-CN"/>
        </w:rPr>
        <w:t xml:space="preserve"> </w:t>
      </w:r>
      <w:r w:rsidR="00424C8D">
        <w:rPr>
          <w:lang w:eastAsia="zh-CN"/>
        </w:rPr>
        <w:t xml:space="preserve">on the horizontal axis </w:t>
      </w:r>
      <w:r w:rsidR="00F84739">
        <w:rPr>
          <w:lang w:eastAsia="zh-CN"/>
        </w:rPr>
        <w:t xml:space="preserve">where the revenue was </w:t>
      </w:r>
      <w:r w:rsidR="00E51A9A">
        <w:rPr>
          <w:lang w:eastAsia="zh-CN"/>
        </w:rPr>
        <w:t xml:space="preserve">higher </w:t>
      </w:r>
      <w:r w:rsidR="00F84739">
        <w:rPr>
          <w:lang w:eastAsia="zh-CN"/>
        </w:rPr>
        <w:t xml:space="preserve">than </w:t>
      </w:r>
      <w:r w:rsidR="00264298">
        <w:rPr>
          <w:lang w:eastAsia="zh-CN"/>
        </w:rPr>
        <w:t xml:space="preserve">the </w:t>
      </w:r>
      <w:r w:rsidR="00867BEE">
        <w:rPr>
          <w:lang w:eastAsia="zh-CN"/>
        </w:rPr>
        <w:t>value</w:t>
      </w:r>
      <w:r w:rsidR="004D46C6">
        <w:rPr>
          <w:lang w:eastAsia="zh-CN"/>
        </w:rPr>
        <w:t xml:space="preserve"> </w:t>
      </w:r>
      <w:r w:rsidR="00264298">
        <w:rPr>
          <w:lang w:eastAsia="zh-CN"/>
        </w:rPr>
        <w:t xml:space="preserve">shown </w:t>
      </w:r>
      <w:r w:rsidR="004D46C6">
        <w:rPr>
          <w:lang w:eastAsia="zh-CN"/>
        </w:rPr>
        <w:t>on the vertical axis</w:t>
      </w:r>
      <w:r w:rsidR="004B24E1">
        <w:rPr>
          <w:lang w:eastAsia="zh-CN"/>
        </w:rPr>
        <w:t>.</w:t>
      </w:r>
      <w:r w:rsidR="00331814">
        <w:rPr>
          <w:lang w:eastAsia="zh-CN"/>
        </w:rPr>
        <w:t xml:space="preserve">  The </w:t>
      </w:r>
      <w:r w:rsidR="00E97D5C">
        <w:rPr>
          <w:lang w:eastAsia="zh-CN"/>
        </w:rPr>
        <w:t xml:space="preserve">figure </w:t>
      </w:r>
      <w:r w:rsidR="00331814">
        <w:rPr>
          <w:lang w:eastAsia="zh-CN"/>
        </w:rPr>
        <w:t xml:space="preserve">also shows </w:t>
      </w:r>
      <w:r w:rsidR="00980E66">
        <w:rPr>
          <w:lang w:eastAsia="zh-CN"/>
        </w:rPr>
        <w:t xml:space="preserve">(a) </w:t>
      </w:r>
      <w:r w:rsidR="00331814">
        <w:rPr>
          <w:lang w:eastAsia="zh-CN"/>
        </w:rPr>
        <w:t xml:space="preserve">the standard deviation of the </w:t>
      </w:r>
      <w:r w:rsidR="009E6A38">
        <w:rPr>
          <w:lang w:eastAsia="zh-CN"/>
        </w:rPr>
        <w:t xml:space="preserve">distribution in each case, </w:t>
      </w:r>
      <w:r w:rsidR="00924A19" w:rsidRPr="00924A19">
        <w:rPr>
          <w:lang w:eastAsia="zh-CN"/>
        </w:rPr>
        <w:t>(b) the portion of the distribution where the revenues correspond to a B+/BB- rating (i.e.</w:t>
      </w:r>
      <w:r w:rsidR="00B97C13">
        <w:rPr>
          <w:lang w:eastAsia="zh-CN"/>
        </w:rPr>
        <w:t>,</w:t>
      </w:r>
      <w:r w:rsidR="00924A19" w:rsidRPr="00924A19">
        <w:rPr>
          <w:lang w:eastAsia="zh-CN"/>
        </w:rPr>
        <w:t xml:space="preserve"> DSCR is between 1.27 and 1.53) in the MOPR case</w:t>
      </w:r>
      <w:r w:rsidR="00B97C13">
        <w:rPr>
          <w:lang w:eastAsia="zh-CN"/>
        </w:rPr>
        <w:t xml:space="preserve"> </w:t>
      </w:r>
      <w:r w:rsidR="00B97C13">
        <w:t xml:space="preserve">(labeled as </w:t>
      </w:r>
      <w:r w:rsidR="00B97C13" w:rsidRPr="003A02CA">
        <w:t>Rating Case range</w:t>
      </w:r>
      <w:r w:rsidR="00B97C13">
        <w:t>)</w:t>
      </w:r>
      <w:r w:rsidR="00924A19" w:rsidRPr="00924A19">
        <w:rPr>
          <w:lang w:eastAsia="zh-CN"/>
        </w:rPr>
        <w:t>, (c) the Rating Case</w:t>
      </w:r>
      <w:r w:rsidR="00AC55A6">
        <w:rPr>
          <w:lang w:eastAsia="zh-CN"/>
        </w:rPr>
        <w:t xml:space="preserve"> </w:t>
      </w:r>
      <w:r w:rsidR="005D2ED7">
        <w:rPr>
          <w:lang w:eastAsia="zh-CN"/>
        </w:rPr>
        <w:t>revenues for</w:t>
      </w:r>
      <w:r w:rsidR="00F76128">
        <w:rPr>
          <w:lang w:eastAsia="zh-CN"/>
        </w:rPr>
        <w:t xml:space="preserve"> the No MOPR case,</w:t>
      </w:r>
      <w:r w:rsidR="00924A19" w:rsidRPr="00924A19">
        <w:rPr>
          <w:lang w:eastAsia="zh-CN"/>
        </w:rPr>
        <w:t xml:space="preserve"> and</w:t>
      </w:r>
      <w:r w:rsidR="00F76128">
        <w:rPr>
          <w:lang w:eastAsia="zh-CN"/>
        </w:rPr>
        <w:t xml:space="preserve"> (d) the</w:t>
      </w:r>
      <w:r w:rsidR="00924A19" w:rsidRPr="00924A19">
        <w:rPr>
          <w:lang w:eastAsia="zh-CN"/>
        </w:rPr>
        <w:t xml:space="preserve"> Base Case (i.e.</w:t>
      </w:r>
      <w:r w:rsidR="00B97C13">
        <w:rPr>
          <w:lang w:eastAsia="zh-CN"/>
        </w:rPr>
        <w:t>,</w:t>
      </w:r>
      <w:r w:rsidR="00924A19" w:rsidRPr="00924A19">
        <w:rPr>
          <w:lang w:eastAsia="zh-CN"/>
        </w:rPr>
        <w:t xml:space="preserve"> average) revenues in the MOPR and No MOPR cases.</w:t>
      </w:r>
      <w:r w:rsidR="009E6A38">
        <w:rPr>
          <w:lang w:eastAsia="zh-CN"/>
        </w:rPr>
        <w:t xml:space="preserve"> </w:t>
      </w:r>
    </w:p>
    <w:p w14:paraId="30C1E739" w14:textId="38B5A960" w:rsidR="000C1FD0" w:rsidRDefault="000C1FD0" w:rsidP="00BC1960">
      <w:pPr>
        <w:pStyle w:val="rptmainbodytext"/>
        <w:rPr>
          <w:lang w:eastAsia="zh-CN"/>
        </w:rPr>
      </w:pPr>
      <w:r>
        <w:rPr>
          <w:lang w:eastAsia="zh-CN"/>
        </w:rPr>
        <w:t xml:space="preserve">As discussed in </w:t>
      </w:r>
      <w:r>
        <w:rPr>
          <w:lang w:eastAsia="zh-CN"/>
        </w:rPr>
        <w:fldChar w:fldCharType="begin"/>
      </w:r>
      <w:r>
        <w:rPr>
          <w:lang w:eastAsia="zh-CN"/>
        </w:rPr>
        <w:instrText xml:space="preserve"> REF _Ref84237600 \r \h </w:instrText>
      </w:r>
      <w:r>
        <w:rPr>
          <w:lang w:eastAsia="zh-CN"/>
        </w:rPr>
      </w:r>
      <w:r>
        <w:rPr>
          <w:lang w:eastAsia="zh-CN"/>
        </w:rPr>
        <w:fldChar w:fldCharType="separate"/>
      </w:r>
      <w:r>
        <w:rPr>
          <w:lang w:eastAsia="zh-CN"/>
        </w:rPr>
        <w:t>III</w:t>
      </w:r>
      <w:r>
        <w:rPr>
          <w:lang w:eastAsia="zh-CN"/>
        </w:rPr>
        <w:fldChar w:fldCharType="end"/>
      </w:r>
      <w:r>
        <w:rPr>
          <w:lang w:eastAsia="zh-CN"/>
        </w:rPr>
        <w:t>.</w:t>
      </w:r>
      <w:r>
        <w:rPr>
          <w:lang w:eastAsia="zh-CN"/>
        </w:rPr>
        <w:fldChar w:fldCharType="begin"/>
      </w:r>
      <w:r>
        <w:rPr>
          <w:lang w:eastAsia="zh-CN"/>
        </w:rPr>
        <w:instrText xml:space="preserve"> REF _Ref85456831 \r \h </w:instrText>
      </w:r>
      <w:r>
        <w:rPr>
          <w:lang w:eastAsia="zh-CN"/>
        </w:rPr>
      </w:r>
      <w:r>
        <w:rPr>
          <w:lang w:eastAsia="zh-CN"/>
        </w:rPr>
        <w:fldChar w:fldCharType="separate"/>
      </w:r>
      <w:r>
        <w:rPr>
          <w:lang w:eastAsia="zh-CN"/>
        </w:rPr>
        <w:t>B</w:t>
      </w:r>
      <w:r>
        <w:rPr>
          <w:lang w:eastAsia="zh-CN"/>
        </w:rPr>
        <w:fldChar w:fldCharType="end"/>
      </w:r>
      <w:r>
        <w:rPr>
          <w:lang w:eastAsia="zh-CN"/>
        </w:rPr>
        <w:t xml:space="preserve">, given the surplus supply in both MOPR and No MOPR cases, the average revenue does not equal the Gross CONE of the reference unit in both cases.  Hence, to study the impact of MOPR elimination at long-term equilibrium, we adjusted the supply stack by removing capacity from higher-cost existing resource.  The amount of existing capacity that we </w:t>
      </w:r>
      <w:r>
        <w:rPr>
          <w:lang w:eastAsia="zh-CN"/>
        </w:rPr>
        <w:lastRenderedPageBreak/>
        <w:t>removed is approximately (a) 1</w:t>
      </w:r>
      <w:r w:rsidR="00053C00">
        <w:rPr>
          <w:lang w:eastAsia="zh-CN"/>
        </w:rPr>
        <w:t>,</w:t>
      </w:r>
      <w:r w:rsidR="00DA6BB3">
        <w:rPr>
          <w:lang w:eastAsia="zh-CN"/>
        </w:rPr>
        <w:t>15</w:t>
      </w:r>
      <w:r>
        <w:rPr>
          <w:lang w:eastAsia="zh-CN"/>
        </w:rPr>
        <w:t>0</w:t>
      </w:r>
      <w:r w:rsidR="00053C00">
        <w:rPr>
          <w:lang w:eastAsia="zh-CN"/>
        </w:rPr>
        <w:t xml:space="preserve"> </w:t>
      </w:r>
      <w:r>
        <w:rPr>
          <w:lang w:eastAsia="zh-CN"/>
        </w:rPr>
        <w:t>MW in the MOPR case, and (b) 4</w:t>
      </w:r>
      <w:r w:rsidR="00053C00">
        <w:rPr>
          <w:lang w:eastAsia="zh-CN"/>
        </w:rPr>
        <w:t>,</w:t>
      </w:r>
      <w:r w:rsidR="00DA6BB3">
        <w:rPr>
          <w:lang w:eastAsia="zh-CN"/>
        </w:rPr>
        <w:t>20</w:t>
      </w:r>
      <w:r>
        <w:rPr>
          <w:lang w:eastAsia="zh-CN"/>
        </w:rPr>
        <w:t>0</w:t>
      </w:r>
      <w:r w:rsidR="00053C00">
        <w:rPr>
          <w:lang w:eastAsia="zh-CN"/>
        </w:rPr>
        <w:t xml:space="preserve"> MW</w:t>
      </w:r>
      <w:r>
        <w:rPr>
          <w:lang w:eastAsia="zh-CN"/>
        </w:rPr>
        <w:t xml:space="preserve"> in the No MOPR case.  </w:t>
      </w:r>
      <w:r w:rsidR="001473F3">
        <w:rPr>
          <w:lang w:eastAsia="zh-CN"/>
        </w:rPr>
        <w:t xml:space="preserve"> The following figure shows the distribution of revenues after these supply adjustments</w:t>
      </w:r>
      <w:r w:rsidR="00B03C2A">
        <w:rPr>
          <w:lang w:eastAsia="zh-CN"/>
        </w:rPr>
        <w:t xml:space="preserve"> are made</w:t>
      </w:r>
      <w:r w:rsidR="001473F3">
        <w:rPr>
          <w:lang w:eastAsia="zh-CN"/>
        </w:rPr>
        <w:t>.</w:t>
      </w:r>
      <w:r>
        <w:rPr>
          <w:rStyle w:val="FootnoteReference"/>
          <w:lang w:eastAsia="zh-CN"/>
        </w:rPr>
        <w:footnoteReference w:id="39"/>
      </w:r>
      <w:r w:rsidR="00290D9B">
        <w:rPr>
          <w:lang w:eastAsia="zh-CN"/>
        </w:rPr>
        <w:t xml:space="preserve">  The figure also shows the average revenue and the Rating Case revenues </w:t>
      </w:r>
      <w:r w:rsidR="004F58AB">
        <w:rPr>
          <w:lang w:eastAsia="zh-CN"/>
        </w:rPr>
        <w:t xml:space="preserve">(along with the Rating Case range) </w:t>
      </w:r>
      <w:r w:rsidR="00290D9B">
        <w:rPr>
          <w:lang w:eastAsia="zh-CN"/>
        </w:rPr>
        <w:t>for each case.</w:t>
      </w:r>
    </w:p>
    <w:p w14:paraId="3E2A7A07" w14:textId="6B1BE747" w:rsidR="00D80FBC" w:rsidRDefault="009E5545">
      <w:pPr>
        <w:pStyle w:val="rptmainbodyfiguretitle1"/>
        <w:rPr>
          <w:lang w:eastAsia="zh-CN"/>
        </w:rPr>
      </w:pPr>
      <w:bookmarkStart w:id="950" w:name="_Ref86065100"/>
      <w:bookmarkStart w:id="951" w:name="_Toc86727543"/>
      <w:r>
        <w:t xml:space="preserve">Figure </w:t>
      </w:r>
      <w:r>
        <w:fldChar w:fldCharType="begin"/>
      </w:r>
      <w:r>
        <w:instrText>SEQ Figure \* ARABIC</w:instrText>
      </w:r>
      <w:r>
        <w:fldChar w:fldCharType="separate"/>
      </w:r>
      <w:r w:rsidR="00401666">
        <w:rPr>
          <w:noProof/>
        </w:rPr>
        <w:t>14</w:t>
      </w:r>
      <w:r>
        <w:fldChar w:fldCharType="end"/>
      </w:r>
      <w:bookmarkEnd w:id="950"/>
      <w:r w:rsidR="00D735FD">
        <w:t xml:space="preserve">: </w:t>
      </w:r>
      <w:r w:rsidR="00D735FD">
        <w:rPr>
          <w:lang w:eastAsia="zh-CN"/>
        </w:rPr>
        <w:t>Distribution of Revenues to Reference Unit with and without MOPR</w:t>
      </w:r>
      <w:bookmarkEnd w:id="951"/>
    </w:p>
    <w:p w14:paraId="5F649CE3" w14:textId="57FE4166" w:rsidR="00D80FBC" w:rsidRDefault="00D80FBC" w:rsidP="00F50A72">
      <w:pPr>
        <w:pStyle w:val="rptmainbodyfiguretitle2"/>
        <w:rPr>
          <w:lang w:eastAsia="zh-CN"/>
        </w:rPr>
      </w:pPr>
      <w:r>
        <w:rPr>
          <w:lang w:eastAsia="zh-CN"/>
        </w:rPr>
        <w:t xml:space="preserve">Before Adjusting </w:t>
      </w:r>
      <w:r w:rsidR="00B542BD">
        <w:rPr>
          <w:lang w:eastAsia="zh-CN"/>
        </w:rPr>
        <w:t>WACC Parameters</w:t>
      </w:r>
      <w:r w:rsidR="00392253">
        <w:rPr>
          <w:lang w:eastAsia="zh-CN"/>
        </w:rPr>
        <w:t xml:space="preserve"> (</w:t>
      </w:r>
      <w:r w:rsidR="00D55D65" w:rsidRPr="00D55D65">
        <w:rPr>
          <w:lang w:eastAsia="zh-CN"/>
        </w:rPr>
        <w:t>under Long-term Equil</w:t>
      </w:r>
      <w:r w:rsidR="00F44BEC">
        <w:rPr>
          <w:lang w:eastAsia="zh-CN"/>
        </w:rPr>
        <w:t>i</w:t>
      </w:r>
      <w:r w:rsidR="00D55D65" w:rsidRPr="00D55D65">
        <w:rPr>
          <w:lang w:eastAsia="zh-CN"/>
        </w:rPr>
        <w:t>brium Conditions</w:t>
      </w:r>
      <w:r w:rsidR="00392253">
        <w:rPr>
          <w:lang w:eastAsia="zh-CN"/>
        </w:rPr>
        <w:t>)</w:t>
      </w:r>
    </w:p>
    <w:p w14:paraId="37B447A7" w14:textId="652034E5" w:rsidR="00BA6A86" w:rsidRDefault="00290D9B" w:rsidP="000616AF">
      <w:pPr>
        <w:pStyle w:val="rptmainbodyfigure"/>
        <w:rPr>
          <w:lang w:eastAsia="zh-CN"/>
        </w:rPr>
      </w:pPr>
      <w:r w:rsidRPr="00290D9B">
        <w:drawing>
          <wp:inline distT="0" distB="0" distL="0" distR="0" wp14:anchorId="05E6000D" wp14:editId="64E95C64">
            <wp:extent cx="5943600" cy="3684270"/>
            <wp:effectExtent l="0" t="0" r="0" b="0"/>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rotWithShape="1">
                    <a:blip r:embed="rId46" cstate="print">
                      <a:extLst>
                        <a:ext uri="{28A0092B-C50C-407E-A947-70E740481C1C}">
                          <a14:useLocalDpi xmlns:a14="http://schemas.microsoft.com/office/drawing/2010/main" val="0"/>
                        </a:ext>
                      </a:extLst>
                    </a:blip>
                    <a:srcRect t="14450"/>
                    <a:stretch/>
                  </pic:blipFill>
                  <pic:spPr bwMode="auto">
                    <a:xfrm>
                      <a:off x="0" y="0"/>
                      <a:ext cx="5943600" cy="3684270"/>
                    </a:xfrm>
                    <a:prstGeom prst="rect">
                      <a:avLst/>
                    </a:prstGeom>
                    <a:noFill/>
                    <a:ln>
                      <a:noFill/>
                    </a:ln>
                    <a:extLst>
                      <a:ext uri="{53640926-AAD7-44D8-BBD7-CCE9431645EC}">
                        <a14:shadowObscured xmlns:a14="http://schemas.microsoft.com/office/drawing/2010/main"/>
                      </a:ext>
                    </a:extLst>
                  </pic:spPr>
                </pic:pic>
              </a:graphicData>
            </a:graphic>
          </wp:inline>
        </w:drawing>
      </w:r>
    </w:p>
    <w:p w14:paraId="10371505" w14:textId="6171E754" w:rsidR="0074640F" w:rsidRDefault="0074640F" w:rsidP="00BC1960">
      <w:pPr>
        <w:pStyle w:val="rptmainbodytext"/>
        <w:rPr>
          <w:lang w:eastAsia="zh-CN"/>
        </w:rPr>
      </w:pPr>
      <w:r>
        <w:rPr>
          <w:lang w:eastAsia="zh-CN"/>
        </w:rPr>
        <w:t>Several observations can be drawn from the above figure:</w:t>
      </w:r>
    </w:p>
    <w:p w14:paraId="22B84C67" w14:textId="6FC26E27" w:rsidR="005E1355" w:rsidRDefault="00F93989" w:rsidP="00D212EA">
      <w:pPr>
        <w:pStyle w:val="rptmainbodybullets1"/>
        <w:spacing w:before="120"/>
        <w:rPr>
          <w:lang w:eastAsia="zh-CN"/>
        </w:rPr>
      </w:pPr>
      <w:r>
        <w:rPr>
          <w:lang w:eastAsia="zh-CN"/>
        </w:rPr>
        <w:t>Consistent with the long</w:t>
      </w:r>
      <w:r w:rsidR="006E4B54">
        <w:rPr>
          <w:lang w:eastAsia="zh-CN"/>
        </w:rPr>
        <w:t>-</w:t>
      </w:r>
      <w:r>
        <w:rPr>
          <w:lang w:eastAsia="zh-CN"/>
        </w:rPr>
        <w:t>term equilibrium conditions, t</w:t>
      </w:r>
      <w:r w:rsidR="00A63740" w:rsidRPr="00A63740">
        <w:rPr>
          <w:lang w:eastAsia="zh-CN"/>
        </w:rPr>
        <w:t>he average revenue</w:t>
      </w:r>
      <w:r w:rsidR="002F13CD">
        <w:rPr>
          <w:lang w:eastAsia="zh-CN"/>
        </w:rPr>
        <w:t xml:space="preserve"> </w:t>
      </w:r>
      <w:r w:rsidR="00A63740" w:rsidRPr="00A63740">
        <w:rPr>
          <w:lang w:eastAsia="zh-CN"/>
        </w:rPr>
        <w:t xml:space="preserve">in </w:t>
      </w:r>
      <w:r w:rsidR="0088095E">
        <w:rPr>
          <w:lang w:eastAsia="zh-CN"/>
        </w:rPr>
        <w:t xml:space="preserve">both </w:t>
      </w:r>
      <w:r w:rsidR="00A63740" w:rsidRPr="00A63740">
        <w:rPr>
          <w:lang w:eastAsia="zh-CN"/>
        </w:rPr>
        <w:t>the MOPR and No MOPR cases equals the Gross CONE.</w:t>
      </w:r>
    </w:p>
    <w:p w14:paraId="00156DEE" w14:textId="3714F0E1" w:rsidR="00687270" w:rsidRDefault="00687270" w:rsidP="00D212EA">
      <w:pPr>
        <w:pStyle w:val="rptmainbodybullets1"/>
        <w:spacing w:before="120"/>
        <w:rPr>
          <w:lang w:eastAsia="zh-CN"/>
        </w:rPr>
      </w:pPr>
      <w:r>
        <w:rPr>
          <w:lang w:eastAsia="zh-CN"/>
        </w:rPr>
        <w:t xml:space="preserve">The distribution of revenues in the MOPR case is </w:t>
      </w:r>
      <w:r w:rsidR="0055367F">
        <w:rPr>
          <w:lang w:eastAsia="zh-CN"/>
        </w:rPr>
        <w:t xml:space="preserve">flatter than the </w:t>
      </w:r>
      <w:r w:rsidR="007374CF">
        <w:rPr>
          <w:lang w:eastAsia="zh-CN"/>
        </w:rPr>
        <w:t xml:space="preserve">revenue </w:t>
      </w:r>
      <w:r w:rsidR="0055367F">
        <w:rPr>
          <w:lang w:eastAsia="zh-CN"/>
        </w:rPr>
        <w:t xml:space="preserve">distribution </w:t>
      </w:r>
      <w:r w:rsidR="007374CF">
        <w:rPr>
          <w:lang w:eastAsia="zh-CN"/>
        </w:rPr>
        <w:t>in the No MOPR case</w:t>
      </w:r>
      <w:r w:rsidR="006A3290">
        <w:rPr>
          <w:lang w:eastAsia="zh-CN"/>
        </w:rPr>
        <w:t xml:space="preserve">, i.e., the standard deviation of the revenues in the No MOPR case is </w:t>
      </w:r>
      <w:r w:rsidR="00A41C31">
        <w:rPr>
          <w:lang w:eastAsia="zh-CN"/>
        </w:rPr>
        <w:t xml:space="preserve">(by </w:t>
      </w:r>
      <w:r w:rsidR="0069367A">
        <w:rPr>
          <w:lang w:eastAsia="zh-CN"/>
        </w:rPr>
        <w:t>56</w:t>
      </w:r>
      <w:r w:rsidR="00661712">
        <w:rPr>
          <w:lang w:eastAsia="zh-CN"/>
        </w:rPr>
        <w:t xml:space="preserve"> percent</w:t>
      </w:r>
      <w:r w:rsidR="00A41C31">
        <w:rPr>
          <w:lang w:eastAsia="zh-CN"/>
        </w:rPr>
        <w:t>)</w:t>
      </w:r>
      <w:r w:rsidR="00661712">
        <w:rPr>
          <w:lang w:eastAsia="zh-CN"/>
        </w:rPr>
        <w:t xml:space="preserve"> </w:t>
      </w:r>
      <w:r w:rsidR="006A3290">
        <w:rPr>
          <w:lang w:eastAsia="zh-CN"/>
        </w:rPr>
        <w:t>higher than that in the MOPR case.</w:t>
      </w:r>
    </w:p>
    <w:p w14:paraId="04A3F0AD" w14:textId="282EAFFB" w:rsidR="007374CF" w:rsidRDefault="007374CF" w:rsidP="00D212EA">
      <w:pPr>
        <w:pStyle w:val="rptmainbodybullets1"/>
        <w:spacing w:before="120"/>
        <w:rPr>
          <w:lang w:eastAsia="zh-CN"/>
        </w:rPr>
      </w:pPr>
      <w:r>
        <w:rPr>
          <w:lang w:eastAsia="zh-CN"/>
        </w:rPr>
        <w:lastRenderedPageBreak/>
        <w:t xml:space="preserve">The </w:t>
      </w:r>
      <w:r w:rsidR="00A53F8C">
        <w:rPr>
          <w:lang w:eastAsia="zh-CN"/>
        </w:rPr>
        <w:t xml:space="preserve">likelihood of </w:t>
      </w:r>
      <w:r w:rsidR="00F43F3B">
        <w:rPr>
          <w:lang w:eastAsia="zh-CN"/>
        </w:rPr>
        <w:t xml:space="preserve">low </w:t>
      </w:r>
      <w:r>
        <w:rPr>
          <w:lang w:eastAsia="zh-CN"/>
        </w:rPr>
        <w:t xml:space="preserve">revenues </w:t>
      </w:r>
      <w:r w:rsidR="00F43F3B">
        <w:rPr>
          <w:lang w:eastAsia="zh-CN"/>
        </w:rPr>
        <w:t>(i.e.</w:t>
      </w:r>
      <w:r w:rsidR="0042054E">
        <w:rPr>
          <w:lang w:eastAsia="zh-CN"/>
        </w:rPr>
        <w:t>,</w:t>
      </w:r>
      <w:r w:rsidR="00F43F3B">
        <w:rPr>
          <w:lang w:eastAsia="zh-CN"/>
        </w:rPr>
        <w:t xml:space="preserve"> higher probability of downside</w:t>
      </w:r>
      <w:r w:rsidR="00265231">
        <w:rPr>
          <w:lang w:eastAsia="zh-CN"/>
        </w:rPr>
        <w:t xml:space="preserve"> scenarios</w:t>
      </w:r>
      <w:r w:rsidR="00F43F3B">
        <w:rPr>
          <w:lang w:eastAsia="zh-CN"/>
        </w:rPr>
        <w:t xml:space="preserve">) is higher </w:t>
      </w:r>
      <w:r w:rsidR="00265231">
        <w:rPr>
          <w:lang w:eastAsia="zh-CN"/>
        </w:rPr>
        <w:t>in the No MOPR case.</w:t>
      </w:r>
      <w:r w:rsidR="0042054E">
        <w:rPr>
          <w:lang w:eastAsia="zh-CN"/>
        </w:rPr>
        <w:t xml:space="preserve">  </w:t>
      </w:r>
      <w:r w:rsidR="00471611">
        <w:rPr>
          <w:lang w:eastAsia="zh-CN"/>
        </w:rPr>
        <w:t xml:space="preserve">In specific, </w:t>
      </w:r>
      <w:r w:rsidR="000D2591">
        <w:rPr>
          <w:lang w:eastAsia="zh-CN"/>
        </w:rPr>
        <w:t>t</w:t>
      </w:r>
      <w:r w:rsidR="00471611">
        <w:rPr>
          <w:lang w:eastAsia="zh-CN"/>
        </w:rPr>
        <w:t xml:space="preserve">he average revenue in the Rating Case range in the No MOPR case is </w:t>
      </w:r>
      <w:r w:rsidR="0069367A">
        <w:rPr>
          <w:lang w:eastAsia="zh-CN"/>
        </w:rPr>
        <w:t>1</w:t>
      </w:r>
      <w:r w:rsidR="004F08BB">
        <w:rPr>
          <w:lang w:eastAsia="zh-CN"/>
        </w:rPr>
        <w:t>7</w:t>
      </w:r>
      <w:r w:rsidR="00471611">
        <w:rPr>
          <w:lang w:eastAsia="zh-CN"/>
        </w:rPr>
        <w:t xml:space="preserve"> percent lower than in the MOPR case.  </w:t>
      </w:r>
      <w:r w:rsidR="000D2591">
        <w:rPr>
          <w:lang w:eastAsia="zh-CN"/>
        </w:rPr>
        <w:t>T</w:t>
      </w:r>
      <w:r w:rsidR="00754CF2" w:rsidRPr="00754CF2">
        <w:rPr>
          <w:lang w:eastAsia="zh-CN"/>
        </w:rPr>
        <w:t xml:space="preserve">he Rating Case range, </w:t>
      </w:r>
      <w:r w:rsidR="00B259B9">
        <w:rPr>
          <w:lang w:eastAsia="zh-CN"/>
        </w:rPr>
        <w:t xml:space="preserve">i.e., </w:t>
      </w:r>
      <w:r w:rsidR="000D2591">
        <w:rPr>
          <w:lang w:eastAsia="zh-CN"/>
        </w:rPr>
        <w:t>t</w:t>
      </w:r>
      <w:r w:rsidR="000D2591" w:rsidRPr="00754CF2">
        <w:rPr>
          <w:lang w:eastAsia="zh-CN"/>
        </w:rPr>
        <w:t xml:space="preserve">he </w:t>
      </w:r>
      <w:r w:rsidR="000D2591">
        <w:rPr>
          <w:lang w:eastAsia="zh-CN"/>
        </w:rPr>
        <w:t xml:space="preserve">portion of the distribution corresponding to a </w:t>
      </w:r>
      <w:r w:rsidR="000D2591" w:rsidRPr="00754CF2">
        <w:rPr>
          <w:lang w:eastAsia="zh-CN"/>
        </w:rPr>
        <w:t>B+/BB- rating under status quo</w:t>
      </w:r>
      <w:r w:rsidR="00517EAF">
        <w:rPr>
          <w:lang w:eastAsia="zh-CN"/>
        </w:rPr>
        <w:t>,</w:t>
      </w:r>
      <w:r w:rsidR="000D2591">
        <w:rPr>
          <w:lang w:eastAsia="zh-CN"/>
        </w:rPr>
        <w:t xml:space="preserve"> </w:t>
      </w:r>
      <w:r w:rsidR="00754CF2">
        <w:rPr>
          <w:lang w:eastAsia="zh-CN"/>
        </w:rPr>
        <w:t>falls between</w:t>
      </w:r>
      <w:r w:rsidR="00754CF2" w:rsidRPr="00754CF2">
        <w:rPr>
          <w:lang w:eastAsia="zh-CN"/>
        </w:rPr>
        <w:t xml:space="preserve"> the 9th to 16th percentile of the revenue distribution</w:t>
      </w:r>
      <w:r w:rsidR="00B07CF3">
        <w:rPr>
          <w:lang w:eastAsia="zh-CN"/>
        </w:rPr>
        <w:t>.</w:t>
      </w:r>
      <w:r w:rsidR="007A0A02">
        <w:rPr>
          <w:rStyle w:val="FootnoteReference"/>
          <w:lang w:eastAsia="zh-CN"/>
        </w:rPr>
        <w:footnoteReference w:id="40"/>
      </w:r>
    </w:p>
    <w:p w14:paraId="3A4322E9" w14:textId="34AF821D" w:rsidR="00D277C9" w:rsidRDefault="00265231" w:rsidP="00BC1960">
      <w:pPr>
        <w:pStyle w:val="rptmainbodytext"/>
        <w:rPr>
          <w:lang w:eastAsia="zh-CN"/>
        </w:rPr>
      </w:pPr>
      <w:r>
        <w:rPr>
          <w:lang w:eastAsia="zh-CN"/>
        </w:rPr>
        <w:t>The above characteristics of the revenue distribution</w:t>
      </w:r>
      <w:r w:rsidR="00C41890">
        <w:rPr>
          <w:lang w:eastAsia="zh-CN"/>
        </w:rPr>
        <w:t xml:space="preserve"> affect the COE and COD in the No MOPR case, which we discuss in the next subsection.</w:t>
      </w:r>
    </w:p>
    <w:p w14:paraId="62D6659E" w14:textId="68EC77FE" w:rsidR="00217FF5" w:rsidRPr="00CF762A" w:rsidRDefault="004B55C2" w:rsidP="009B2B54">
      <w:pPr>
        <w:pStyle w:val="rptmainbodyheading3"/>
        <w:rPr>
          <w:lang w:eastAsia="zh-CN"/>
        </w:rPr>
      </w:pPr>
      <w:r>
        <w:rPr>
          <w:lang w:eastAsia="zh-CN"/>
        </w:rPr>
        <w:t xml:space="preserve">Initial </w:t>
      </w:r>
      <w:r w:rsidR="00DD7694">
        <w:rPr>
          <w:lang w:eastAsia="zh-CN"/>
        </w:rPr>
        <w:t xml:space="preserve">Estimates of </w:t>
      </w:r>
      <w:r w:rsidR="00DB74FF" w:rsidRPr="00CF762A">
        <w:rPr>
          <w:lang w:eastAsia="zh-CN"/>
        </w:rPr>
        <w:t xml:space="preserve">Cost of Equity </w:t>
      </w:r>
      <w:r>
        <w:rPr>
          <w:lang w:eastAsia="zh-CN"/>
        </w:rPr>
        <w:t xml:space="preserve">and </w:t>
      </w:r>
      <w:r w:rsidR="00DB74FF" w:rsidRPr="00CF762A">
        <w:rPr>
          <w:lang w:eastAsia="zh-CN"/>
        </w:rPr>
        <w:t>Cost of Debt</w:t>
      </w:r>
    </w:p>
    <w:p w14:paraId="1B43B26D" w14:textId="77777777" w:rsidR="001A3E25" w:rsidRDefault="001A3E25" w:rsidP="009B2B54">
      <w:pPr>
        <w:pStyle w:val="rptmainbodyheading4"/>
        <w:rPr>
          <w:lang w:eastAsia="zh-CN"/>
        </w:rPr>
      </w:pPr>
      <w:r>
        <w:rPr>
          <w:lang w:eastAsia="zh-CN"/>
        </w:rPr>
        <w:t>Cost of Equity</w:t>
      </w:r>
    </w:p>
    <w:p w14:paraId="1A6DB550" w14:textId="2221EC0E" w:rsidR="00EF35B6" w:rsidRDefault="00D14607" w:rsidP="00BC1960">
      <w:pPr>
        <w:pStyle w:val="rptmainbodytext"/>
        <w:rPr>
          <w:lang w:eastAsia="zh-CN"/>
        </w:rPr>
      </w:pPr>
      <w:r>
        <w:rPr>
          <w:lang w:eastAsia="zh-CN"/>
        </w:rPr>
        <w:t xml:space="preserve">Based on the results shown in </w:t>
      </w:r>
      <w:r>
        <w:rPr>
          <w:lang w:eastAsia="zh-CN"/>
        </w:rPr>
        <w:fldChar w:fldCharType="begin"/>
      </w:r>
      <w:r>
        <w:rPr>
          <w:lang w:eastAsia="zh-CN"/>
        </w:rPr>
        <w:instrText xml:space="preserve"> REF _Ref86065100 \h </w:instrText>
      </w:r>
      <w:r>
        <w:rPr>
          <w:lang w:eastAsia="zh-CN"/>
        </w:rPr>
      </w:r>
      <w:r>
        <w:rPr>
          <w:lang w:eastAsia="zh-CN"/>
        </w:rPr>
        <w:fldChar w:fldCharType="separate"/>
      </w:r>
      <w:r>
        <w:t xml:space="preserve">Figure </w:t>
      </w:r>
      <w:r>
        <w:rPr>
          <w:noProof/>
        </w:rPr>
        <w:t>14</w:t>
      </w:r>
      <w:r>
        <w:rPr>
          <w:lang w:eastAsia="zh-CN"/>
        </w:rPr>
        <w:fldChar w:fldCharType="end"/>
      </w:r>
      <w:r>
        <w:rPr>
          <w:lang w:eastAsia="zh-CN"/>
        </w:rPr>
        <w:t xml:space="preserve">, the </w:t>
      </w:r>
      <w:r w:rsidR="00F464BD">
        <w:rPr>
          <w:lang w:eastAsia="zh-CN"/>
        </w:rPr>
        <w:t xml:space="preserve">higher standard deviation of revenues in the No MOPR case </w:t>
      </w:r>
      <w:r w:rsidR="00E42014">
        <w:rPr>
          <w:lang w:eastAsia="zh-CN"/>
        </w:rPr>
        <w:t>(</w:t>
      </w:r>
      <w:r w:rsidR="00C266C2">
        <w:rPr>
          <w:lang w:eastAsia="zh-CN"/>
        </w:rPr>
        <w:t>$</w:t>
      </w:r>
      <w:r w:rsidR="008E3DA7">
        <w:rPr>
          <w:lang w:eastAsia="zh-CN"/>
        </w:rPr>
        <w:t>3</w:t>
      </w:r>
      <w:r w:rsidR="00135A85">
        <w:rPr>
          <w:lang w:eastAsia="zh-CN"/>
        </w:rPr>
        <w:t>.</w:t>
      </w:r>
      <w:r w:rsidR="008E3DA7">
        <w:rPr>
          <w:lang w:eastAsia="zh-CN"/>
        </w:rPr>
        <w:t>5</w:t>
      </w:r>
      <w:r w:rsidR="0069367A">
        <w:rPr>
          <w:lang w:eastAsia="zh-CN"/>
        </w:rPr>
        <w:t>2</w:t>
      </w:r>
      <w:r w:rsidR="00C266C2">
        <w:rPr>
          <w:lang w:eastAsia="zh-CN"/>
        </w:rPr>
        <w:t>/kW-month</w:t>
      </w:r>
      <w:r w:rsidR="00B4263C">
        <w:rPr>
          <w:lang w:eastAsia="zh-CN"/>
        </w:rPr>
        <w:t xml:space="preserve"> in 2030$</w:t>
      </w:r>
      <w:r w:rsidR="00E42014">
        <w:rPr>
          <w:lang w:eastAsia="zh-CN"/>
        </w:rPr>
        <w:t xml:space="preserve">) </w:t>
      </w:r>
      <w:r w:rsidR="00F464BD">
        <w:rPr>
          <w:lang w:eastAsia="zh-CN"/>
        </w:rPr>
        <w:t>correspond to a higher COE relative to the MOPR case</w:t>
      </w:r>
      <w:r w:rsidR="00E42014">
        <w:rPr>
          <w:lang w:eastAsia="zh-CN"/>
        </w:rPr>
        <w:t xml:space="preserve"> (</w:t>
      </w:r>
      <w:r w:rsidR="00C266C2">
        <w:rPr>
          <w:lang w:eastAsia="zh-CN"/>
        </w:rPr>
        <w:t>$</w:t>
      </w:r>
      <w:r w:rsidR="008E3DA7">
        <w:rPr>
          <w:lang w:eastAsia="zh-CN"/>
        </w:rPr>
        <w:t>2</w:t>
      </w:r>
      <w:r w:rsidR="00135A85">
        <w:rPr>
          <w:lang w:eastAsia="zh-CN"/>
        </w:rPr>
        <w:t>.</w:t>
      </w:r>
      <w:r w:rsidR="008E3DA7">
        <w:rPr>
          <w:lang w:eastAsia="zh-CN"/>
        </w:rPr>
        <w:t>2</w:t>
      </w:r>
      <w:r w:rsidR="0069367A">
        <w:rPr>
          <w:lang w:eastAsia="zh-CN"/>
        </w:rPr>
        <w:t>5</w:t>
      </w:r>
      <w:r w:rsidR="00C266C2">
        <w:rPr>
          <w:lang w:eastAsia="zh-CN"/>
        </w:rPr>
        <w:t>/kW-month</w:t>
      </w:r>
      <w:r w:rsidR="00B4263C" w:rsidRPr="00B4263C">
        <w:rPr>
          <w:lang w:eastAsia="zh-CN"/>
        </w:rPr>
        <w:t xml:space="preserve"> </w:t>
      </w:r>
      <w:r w:rsidR="00B4263C">
        <w:rPr>
          <w:lang w:eastAsia="zh-CN"/>
        </w:rPr>
        <w:t>in 2030$</w:t>
      </w:r>
      <w:r w:rsidR="00E42014">
        <w:rPr>
          <w:lang w:eastAsia="zh-CN"/>
        </w:rPr>
        <w:t>)</w:t>
      </w:r>
      <w:r w:rsidR="00F464BD">
        <w:rPr>
          <w:lang w:eastAsia="zh-CN"/>
        </w:rPr>
        <w:t>.</w:t>
      </w:r>
      <w:r w:rsidR="00E42014">
        <w:rPr>
          <w:lang w:eastAsia="zh-CN"/>
        </w:rPr>
        <w:t xml:space="preserve">  </w:t>
      </w:r>
      <w:r w:rsidR="009A76C8">
        <w:rPr>
          <w:lang w:eastAsia="zh-CN"/>
        </w:rPr>
        <w:t xml:space="preserve">We estimate the </w:t>
      </w:r>
      <w:r w:rsidR="00677063">
        <w:rPr>
          <w:lang w:eastAsia="zh-CN"/>
        </w:rPr>
        <w:t>increase in COE</w:t>
      </w:r>
      <w:r w:rsidR="00DF7594">
        <w:rPr>
          <w:lang w:eastAsia="zh-CN"/>
        </w:rPr>
        <w:t xml:space="preserve"> in the No MOPR case in the following manner:</w:t>
      </w:r>
      <w:r w:rsidR="005B54C7">
        <w:rPr>
          <w:rStyle w:val="FootnoteReference"/>
          <w:lang w:eastAsia="zh-CN"/>
        </w:rPr>
        <w:footnoteReference w:id="41"/>
      </w:r>
      <w:r w:rsidR="00B4263C" w:rsidRPr="002A6C65">
        <w:rPr>
          <w:vertAlign w:val="superscript"/>
          <w:lang w:eastAsia="zh-CN"/>
        </w:rPr>
        <w:t>,</w:t>
      </w:r>
      <w:r w:rsidR="00B4263C" w:rsidRPr="00B4263C">
        <w:rPr>
          <w:rStyle w:val="FootnoteReference"/>
        </w:rPr>
        <w:t xml:space="preserve"> </w:t>
      </w:r>
      <w:r w:rsidR="00B4263C">
        <w:rPr>
          <w:rStyle w:val="FootnoteReference"/>
        </w:rPr>
        <w:footnoteReference w:id="42"/>
      </w:r>
    </w:p>
    <w:p w14:paraId="35140FF9" w14:textId="6F04E6E3" w:rsidR="005224ED" w:rsidRPr="008E6263" w:rsidRDefault="00EF35B6" w:rsidP="008E6263">
      <w:pPr>
        <w:pStyle w:val="rptmainbodytext"/>
        <w:jc w:val="center"/>
        <w:rPr>
          <w:i/>
          <w:iCs/>
          <w:lang w:eastAsia="zh-CN"/>
        </w:rPr>
      </w:pPr>
      <w:r w:rsidRPr="008E6263">
        <w:rPr>
          <w:i/>
          <w:iCs/>
          <w:lang w:eastAsia="zh-CN"/>
        </w:rPr>
        <w:t xml:space="preserve">Increase in COE without MOPR = Std Dev(RevMOPR)/ Std Dev(RevNoMOPR) </w:t>
      </w:r>
      <w:r w:rsidR="009A76C8" w:rsidRPr="008E6263">
        <w:rPr>
          <w:i/>
          <w:iCs/>
          <w:lang w:eastAsia="zh-CN"/>
        </w:rPr>
        <w:t xml:space="preserve">x Power Market Risk component of COE = </w:t>
      </w:r>
      <w:r w:rsidR="00C266C2">
        <w:rPr>
          <w:i/>
          <w:iCs/>
          <w:lang w:eastAsia="zh-CN"/>
        </w:rPr>
        <w:t>1.</w:t>
      </w:r>
      <w:r w:rsidR="00066DAD">
        <w:rPr>
          <w:i/>
          <w:iCs/>
          <w:lang w:eastAsia="zh-CN"/>
        </w:rPr>
        <w:t>69</w:t>
      </w:r>
      <w:r w:rsidR="00C266C2">
        <w:rPr>
          <w:i/>
          <w:iCs/>
          <w:lang w:eastAsia="zh-CN"/>
        </w:rPr>
        <w:t>%</w:t>
      </w:r>
    </w:p>
    <w:p w14:paraId="2BF2E13B" w14:textId="4E948AD6" w:rsidR="00DF7F49" w:rsidRDefault="004535E1" w:rsidP="00BC1960">
      <w:pPr>
        <w:pStyle w:val="rptmainbodytext"/>
        <w:rPr>
          <w:lang w:eastAsia="zh-CN"/>
        </w:rPr>
      </w:pPr>
      <w:r>
        <w:rPr>
          <w:lang w:eastAsia="zh-CN"/>
        </w:rPr>
        <w:t>Given the 13 percent COE assumed for the MOPR case</w:t>
      </w:r>
      <w:r w:rsidR="00677063">
        <w:rPr>
          <w:lang w:eastAsia="zh-CN"/>
        </w:rPr>
        <w:t xml:space="preserve">, </w:t>
      </w:r>
      <w:r w:rsidR="003755FB">
        <w:rPr>
          <w:lang w:eastAsia="zh-CN"/>
        </w:rPr>
        <w:t>ou</w:t>
      </w:r>
      <w:r w:rsidR="000616AF">
        <w:rPr>
          <w:lang w:eastAsia="zh-CN"/>
        </w:rPr>
        <w:t>r</w:t>
      </w:r>
      <w:r w:rsidR="003755FB">
        <w:rPr>
          <w:lang w:eastAsia="zh-CN"/>
        </w:rPr>
        <w:t xml:space="preserve"> initial estimate of the COE in the No MOPR case is</w:t>
      </w:r>
      <w:r w:rsidR="00677063">
        <w:rPr>
          <w:lang w:eastAsia="zh-CN"/>
        </w:rPr>
        <w:t xml:space="preserve"> </w:t>
      </w:r>
      <w:r w:rsidR="00C266C2">
        <w:rPr>
          <w:lang w:eastAsia="zh-CN"/>
        </w:rPr>
        <w:t>14.</w:t>
      </w:r>
      <w:r w:rsidR="00066DAD">
        <w:rPr>
          <w:lang w:eastAsia="zh-CN"/>
        </w:rPr>
        <w:t xml:space="preserve">69 </w:t>
      </w:r>
      <w:r w:rsidR="00C266C2">
        <w:rPr>
          <w:lang w:eastAsia="zh-CN"/>
        </w:rPr>
        <w:t>percent</w:t>
      </w:r>
      <w:r w:rsidR="003755FB">
        <w:rPr>
          <w:lang w:eastAsia="zh-CN"/>
        </w:rPr>
        <w:t>.</w:t>
      </w:r>
      <w:r w:rsidR="00677063">
        <w:rPr>
          <w:lang w:eastAsia="zh-CN"/>
        </w:rPr>
        <w:t xml:space="preserve"> </w:t>
      </w:r>
    </w:p>
    <w:p w14:paraId="1EF51C92" w14:textId="17C68808" w:rsidR="00BD030D" w:rsidRDefault="001A3E25" w:rsidP="001A3E25">
      <w:pPr>
        <w:pStyle w:val="rptmainbodyheading4"/>
        <w:rPr>
          <w:lang w:eastAsia="zh-CN"/>
        </w:rPr>
      </w:pPr>
      <w:r>
        <w:rPr>
          <w:lang w:eastAsia="zh-CN"/>
        </w:rPr>
        <w:t>Cost of Debt</w:t>
      </w:r>
    </w:p>
    <w:p w14:paraId="08ECCFBE" w14:textId="10B6DAE9" w:rsidR="00177D8C" w:rsidRDefault="001D42F0" w:rsidP="00BC1960">
      <w:pPr>
        <w:pStyle w:val="rptmainbodytext"/>
        <w:rPr>
          <w:lang w:eastAsia="zh-CN"/>
        </w:rPr>
      </w:pPr>
      <w:r>
        <w:rPr>
          <w:lang w:eastAsia="zh-CN"/>
        </w:rPr>
        <w:t>The average revenue in the Rating Case range,</w:t>
      </w:r>
      <w:r w:rsidRPr="001D42F0">
        <w:t xml:space="preserve"> </w:t>
      </w:r>
      <w:r w:rsidR="002E73AB">
        <w:t xml:space="preserve">i.e., </w:t>
      </w:r>
      <w:r w:rsidR="002E73AB">
        <w:rPr>
          <w:lang w:eastAsia="zh-CN"/>
        </w:rPr>
        <w:t>the</w:t>
      </w:r>
      <w:r w:rsidRPr="001D42F0">
        <w:rPr>
          <w:lang w:eastAsia="zh-CN"/>
        </w:rPr>
        <w:t xml:space="preserve"> 9th and 16th percentile of the revenue distribution</w:t>
      </w:r>
      <w:r>
        <w:rPr>
          <w:lang w:eastAsia="zh-CN"/>
        </w:rPr>
        <w:t xml:space="preserve">, in the MOPR case </w:t>
      </w:r>
      <w:r w:rsidR="00B14576">
        <w:rPr>
          <w:lang w:eastAsia="zh-CN"/>
        </w:rPr>
        <w:t xml:space="preserve">is </w:t>
      </w:r>
      <w:r w:rsidR="004F08BB">
        <w:rPr>
          <w:lang w:eastAsia="zh-CN"/>
        </w:rPr>
        <w:t>$11.27/kW-mo</w:t>
      </w:r>
      <w:r w:rsidR="00D31974">
        <w:rPr>
          <w:lang w:eastAsia="zh-CN"/>
        </w:rPr>
        <w:t xml:space="preserve"> (2030$)</w:t>
      </w:r>
      <w:r w:rsidR="007E077F">
        <w:rPr>
          <w:lang w:eastAsia="zh-CN"/>
        </w:rPr>
        <w:t>.</w:t>
      </w:r>
      <w:r w:rsidR="00F944B3">
        <w:rPr>
          <w:rStyle w:val="FootnoteReference"/>
          <w:lang w:eastAsia="zh-CN"/>
        </w:rPr>
        <w:footnoteReference w:id="43"/>
      </w:r>
      <w:r w:rsidR="00DC7FF8">
        <w:rPr>
          <w:lang w:eastAsia="zh-CN"/>
        </w:rPr>
        <w:t xml:space="preserve"> </w:t>
      </w:r>
      <w:r w:rsidR="003567E2">
        <w:rPr>
          <w:lang w:eastAsia="zh-CN"/>
        </w:rPr>
        <w:t xml:space="preserve"> </w:t>
      </w:r>
      <w:r w:rsidR="00DC7FF8">
        <w:rPr>
          <w:lang w:eastAsia="zh-CN"/>
        </w:rPr>
        <w:t xml:space="preserve">The average revenue in the same portion of distribution in the No MOPR case </w:t>
      </w:r>
      <w:r w:rsidR="00A65A62">
        <w:rPr>
          <w:lang w:eastAsia="zh-CN"/>
        </w:rPr>
        <w:t>is</w:t>
      </w:r>
      <w:r w:rsidR="00512CF5">
        <w:rPr>
          <w:lang w:eastAsia="zh-CN"/>
        </w:rPr>
        <w:t xml:space="preserve"> </w:t>
      </w:r>
      <w:r w:rsidR="003C0AA5">
        <w:rPr>
          <w:lang w:eastAsia="zh-CN"/>
        </w:rPr>
        <w:t>1</w:t>
      </w:r>
      <w:r w:rsidR="004F08BB">
        <w:rPr>
          <w:lang w:eastAsia="zh-CN"/>
        </w:rPr>
        <w:t>7</w:t>
      </w:r>
      <w:r w:rsidR="00512CF5">
        <w:rPr>
          <w:lang w:eastAsia="zh-CN"/>
        </w:rPr>
        <w:t xml:space="preserve"> percent lower, which corresponds to a DSCR of </w:t>
      </w:r>
      <w:r w:rsidR="00BC3A1D">
        <w:rPr>
          <w:lang w:eastAsia="zh-CN"/>
        </w:rPr>
        <w:t>0.</w:t>
      </w:r>
      <w:r w:rsidR="006117B0">
        <w:rPr>
          <w:lang w:eastAsia="zh-CN"/>
        </w:rPr>
        <w:t>85</w:t>
      </w:r>
      <w:r w:rsidR="00177D8C">
        <w:rPr>
          <w:lang w:eastAsia="zh-CN"/>
        </w:rPr>
        <w:t>.  Consequently, we estimate</w:t>
      </w:r>
      <w:r w:rsidR="002E3482">
        <w:rPr>
          <w:lang w:eastAsia="zh-CN"/>
        </w:rPr>
        <w:t xml:space="preserve"> an</w:t>
      </w:r>
      <w:r w:rsidR="00512CF5">
        <w:rPr>
          <w:lang w:eastAsia="zh-CN"/>
        </w:rPr>
        <w:t xml:space="preserve"> initial COD of </w:t>
      </w:r>
      <w:r w:rsidR="009B41C5">
        <w:rPr>
          <w:lang w:eastAsia="zh-CN"/>
        </w:rPr>
        <w:t>10</w:t>
      </w:r>
      <w:r w:rsidR="00BC3A1D">
        <w:rPr>
          <w:lang w:eastAsia="zh-CN"/>
        </w:rPr>
        <w:t>.</w:t>
      </w:r>
      <w:r w:rsidR="009B41C5">
        <w:rPr>
          <w:lang w:eastAsia="zh-CN"/>
        </w:rPr>
        <w:t xml:space="preserve">22 </w:t>
      </w:r>
      <w:r w:rsidR="00BC3A1D">
        <w:rPr>
          <w:lang w:eastAsia="zh-CN"/>
        </w:rPr>
        <w:t>percent</w:t>
      </w:r>
      <w:r w:rsidR="00177D8C">
        <w:rPr>
          <w:lang w:eastAsia="zh-CN"/>
        </w:rPr>
        <w:t xml:space="preserve"> in the MOPR case, based on our assumed relationship between Rating Case DSCRs and the COD</w:t>
      </w:r>
      <w:r w:rsidR="00512CF5">
        <w:rPr>
          <w:lang w:eastAsia="zh-CN"/>
        </w:rPr>
        <w:t>.</w:t>
      </w:r>
      <w:r w:rsidR="00177D8C">
        <w:rPr>
          <w:rStyle w:val="FootnoteReference"/>
          <w:lang w:eastAsia="zh-CN"/>
        </w:rPr>
        <w:footnoteReference w:id="44"/>
      </w:r>
      <w:r w:rsidR="00C64A9E">
        <w:rPr>
          <w:lang w:eastAsia="zh-CN"/>
        </w:rPr>
        <w:t xml:space="preserve">  </w:t>
      </w:r>
    </w:p>
    <w:p w14:paraId="4DE204B9" w14:textId="5856AA58" w:rsidR="00512CF5" w:rsidRDefault="00F436AC" w:rsidP="00BC1960">
      <w:pPr>
        <w:pStyle w:val="rptmainbodytext"/>
        <w:rPr>
          <w:lang w:eastAsia="zh-CN"/>
        </w:rPr>
      </w:pPr>
      <w:r>
        <w:rPr>
          <w:lang w:eastAsia="zh-CN"/>
        </w:rPr>
        <w:fldChar w:fldCharType="begin"/>
      </w:r>
      <w:r>
        <w:rPr>
          <w:lang w:eastAsia="zh-CN"/>
        </w:rPr>
        <w:instrText xml:space="preserve"> REF _Ref86065137 \h </w:instrText>
      </w:r>
      <w:r>
        <w:rPr>
          <w:lang w:eastAsia="zh-CN"/>
        </w:rPr>
      </w:r>
      <w:r>
        <w:rPr>
          <w:lang w:eastAsia="zh-CN"/>
        </w:rPr>
        <w:fldChar w:fldCharType="separate"/>
      </w:r>
      <w:r>
        <w:t xml:space="preserve">Table </w:t>
      </w:r>
      <w:r>
        <w:rPr>
          <w:noProof/>
        </w:rPr>
        <w:t>4</w:t>
      </w:r>
      <w:r>
        <w:rPr>
          <w:lang w:eastAsia="zh-CN"/>
        </w:rPr>
        <w:fldChar w:fldCharType="end"/>
      </w:r>
      <w:r>
        <w:rPr>
          <w:lang w:eastAsia="zh-CN"/>
        </w:rPr>
        <w:t xml:space="preserve"> </w:t>
      </w:r>
      <w:r w:rsidR="00512CF5">
        <w:rPr>
          <w:lang w:eastAsia="zh-CN"/>
        </w:rPr>
        <w:t xml:space="preserve">shows the </w:t>
      </w:r>
      <w:r w:rsidR="00177D8C">
        <w:rPr>
          <w:lang w:eastAsia="zh-CN"/>
        </w:rPr>
        <w:t xml:space="preserve">derivation of the </w:t>
      </w:r>
      <w:r w:rsidR="00C64A9E">
        <w:rPr>
          <w:lang w:eastAsia="zh-CN"/>
        </w:rPr>
        <w:t>DSCRs in the base case (i.e., the case with expected revenues), the Rating Case DSCRs in the MOPR and No MOPR cases.</w:t>
      </w:r>
    </w:p>
    <w:p w14:paraId="4E00E5EC" w14:textId="1C7BC73A" w:rsidR="00845917" w:rsidRDefault="009E5545" w:rsidP="002A6C65">
      <w:pPr>
        <w:pStyle w:val="rptmainbodyfiguretitle1"/>
      </w:pPr>
      <w:bookmarkStart w:id="952" w:name="_Ref86065137"/>
      <w:bookmarkStart w:id="953" w:name="_Toc86727550"/>
      <w:r>
        <w:lastRenderedPageBreak/>
        <w:t xml:space="preserve">Table </w:t>
      </w:r>
      <w:r>
        <w:fldChar w:fldCharType="begin"/>
      </w:r>
      <w:r>
        <w:instrText>SEQ Table \* ARABIC</w:instrText>
      </w:r>
      <w:r>
        <w:fldChar w:fldCharType="separate"/>
      </w:r>
      <w:r>
        <w:rPr>
          <w:noProof/>
        </w:rPr>
        <w:t>4</w:t>
      </w:r>
      <w:r>
        <w:fldChar w:fldCharType="end"/>
      </w:r>
      <w:bookmarkEnd w:id="952"/>
      <w:r>
        <w:rPr>
          <w:lang w:eastAsia="zh-CN"/>
        </w:rPr>
        <w:t>:</w:t>
      </w:r>
      <w:r w:rsidR="009E35D2">
        <w:rPr>
          <w:lang w:eastAsia="zh-CN"/>
        </w:rPr>
        <w:t xml:space="preserve"> </w:t>
      </w:r>
      <w:r w:rsidR="007A64B6">
        <w:rPr>
          <w:lang w:eastAsia="zh-CN"/>
        </w:rPr>
        <w:t>DSCRs in Base and Rating Case</w:t>
      </w:r>
      <w:bookmarkEnd w:id="953"/>
    </w:p>
    <w:p w14:paraId="20BEF3CB" w14:textId="444826B5" w:rsidR="005D0042" w:rsidRDefault="005D0042" w:rsidP="002A6C65">
      <w:pPr>
        <w:pStyle w:val="rptmainbodyfigure"/>
        <w:rPr>
          <w:lang w:eastAsia="zh-CN"/>
        </w:rPr>
      </w:pPr>
      <w:r w:rsidRPr="005D0042">
        <w:drawing>
          <wp:inline distT="0" distB="0" distL="0" distR="0" wp14:anchorId="5BB03152" wp14:editId="26C940A5">
            <wp:extent cx="4572000" cy="2869407"/>
            <wp:effectExtent l="0" t="0" r="0" b="7620"/>
            <wp:docPr id="15"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rotWithShape="1">
                    <a:blip r:embed="rId47" cstate="print">
                      <a:extLst>
                        <a:ext uri="{28A0092B-C50C-407E-A947-70E740481C1C}">
                          <a14:useLocalDpi xmlns:a14="http://schemas.microsoft.com/office/drawing/2010/main" val="0"/>
                        </a:ext>
                      </a:extLst>
                    </a:blip>
                    <a:srcRect l="8760" t="4427" r="9189" b="6659"/>
                    <a:stretch/>
                  </pic:blipFill>
                  <pic:spPr bwMode="auto">
                    <a:xfrm>
                      <a:off x="0" y="0"/>
                      <a:ext cx="4572000" cy="2869407"/>
                    </a:xfrm>
                    <a:prstGeom prst="rect">
                      <a:avLst/>
                    </a:prstGeom>
                    <a:noFill/>
                    <a:ln>
                      <a:noFill/>
                    </a:ln>
                    <a:extLst>
                      <a:ext uri="{53640926-AAD7-44D8-BBD7-CCE9431645EC}">
                        <a14:shadowObscured xmlns:a14="http://schemas.microsoft.com/office/drawing/2010/main"/>
                      </a:ext>
                    </a:extLst>
                  </pic:spPr>
                </pic:pic>
              </a:graphicData>
            </a:graphic>
          </wp:inline>
        </w:drawing>
      </w:r>
    </w:p>
    <w:p w14:paraId="4D1ADF18" w14:textId="45F48382" w:rsidR="007171F7" w:rsidRDefault="00853601" w:rsidP="002A6C65">
      <w:pPr>
        <w:pStyle w:val="rptmainbodyheading3"/>
        <w:rPr>
          <w:lang w:eastAsia="zh-CN"/>
        </w:rPr>
      </w:pPr>
      <w:r w:rsidRPr="00853601">
        <w:rPr>
          <w:lang w:eastAsia="zh-CN"/>
        </w:rPr>
        <w:t xml:space="preserve">Iterations to determine COE and COD at the default </w:t>
      </w:r>
      <w:r w:rsidR="00CD5EE8">
        <w:rPr>
          <w:lang w:eastAsia="zh-CN"/>
        </w:rPr>
        <w:t>debt</w:t>
      </w:r>
      <w:r w:rsidRPr="00853601">
        <w:rPr>
          <w:lang w:eastAsia="zh-CN"/>
        </w:rPr>
        <w:t xml:space="preserve"> ratio</w:t>
      </w:r>
    </w:p>
    <w:p w14:paraId="35E21B2F" w14:textId="114B5364" w:rsidR="00202AE8" w:rsidRDefault="007324FC" w:rsidP="00BC1960">
      <w:pPr>
        <w:pStyle w:val="rptmainbodytext"/>
        <w:rPr>
          <w:lang w:eastAsia="zh-CN"/>
        </w:rPr>
      </w:pPr>
      <w:r>
        <w:rPr>
          <w:lang w:eastAsia="zh-CN"/>
        </w:rPr>
        <w:t xml:space="preserve">The above estimates for COE and COD </w:t>
      </w:r>
      <w:r w:rsidR="00CD5EE8">
        <w:rPr>
          <w:lang w:eastAsia="zh-CN"/>
        </w:rPr>
        <w:t xml:space="preserve">produces </w:t>
      </w:r>
      <w:r w:rsidR="00BD030D">
        <w:rPr>
          <w:lang w:eastAsia="zh-CN"/>
        </w:rPr>
        <w:t xml:space="preserve">an initial ATWACC of </w:t>
      </w:r>
      <w:r w:rsidR="003E5669">
        <w:rPr>
          <w:lang w:eastAsia="zh-CN"/>
        </w:rPr>
        <w:t>10.</w:t>
      </w:r>
      <w:r w:rsidR="00346154">
        <w:rPr>
          <w:lang w:eastAsia="zh-CN"/>
        </w:rPr>
        <w:t>7</w:t>
      </w:r>
      <w:r w:rsidR="00C522BE">
        <w:rPr>
          <w:lang w:eastAsia="zh-CN"/>
        </w:rPr>
        <w:t>2</w:t>
      </w:r>
      <w:r w:rsidR="003E5669">
        <w:rPr>
          <w:lang w:eastAsia="zh-CN"/>
        </w:rPr>
        <w:t xml:space="preserve"> percent</w:t>
      </w:r>
      <w:r w:rsidR="000758A1">
        <w:rPr>
          <w:lang w:eastAsia="zh-CN"/>
        </w:rPr>
        <w:t xml:space="preserve"> (assuming the </w:t>
      </w:r>
      <w:r w:rsidR="00E17AEB">
        <w:rPr>
          <w:lang w:eastAsia="zh-CN"/>
        </w:rPr>
        <w:t xml:space="preserve">default </w:t>
      </w:r>
      <w:r w:rsidR="000758A1">
        <w:rPr>
          <w:lang w:eastAsia="zh-CN"/>
        </w:rPr>
        <w:t>55% debt ratio</w:t>
      </w:r>
      <w:r w:rsidR="00E17AEB">
        <w:rPr>
          <w:lang w:eastAsia="zh-CN"/>
        </w:rPr>
        <w:t xml:space="preserve"> used in the CONE study</w:t>
      </w:r>
      <w:r w:rsidR="000758A1">
        <w:rPr>
          <w:lang w:eastAsia="zh-CN"/>
        </w:rPr>
        <w:t>)</w:t>
      </w:r>
      <w:r w:rsidR="001D2C7B">
        <w:rPr>
          <w:lang w:eastAsia="zh-CN"/>
        </w:rPr>
        <w:t xml:space="preserve">.  However, </w:t>
      </w:r>
      <w:r w:rsidR="00F12032">
        <w:rPr>
          <w:lang w:eastAsia="zh-CN"/>
        </w:rPr>
        <w:t xml:space="preserve">the </w:t>
      </w:r>
      <w:r w:rsidR="00C50CAB">
        <w:rPr>
          <w:lang w:eastAsia="zh-CN"/>
        </w:rPr>
        <w:t xml:space="preserve">distribution of revenues </w:t>
      </w:r>
      <w:r w:rsidR="00CC0CDE">
        <w:rPr>
          <w:lang w:eastAsia="zh-CN"/>
        </w:rPr>
        <w:t xml:space="preserve">shown in </w:t>
      </w:r>
      <w:r w:rsidR="00D3426A">
        <w:rPr>
          <w:lang w:eastAsia="zh-CN"/>
        </w:rPr>
        <w:fldChar w:fldCharType="begin"/>
      </w:r>
      <w:r w:rsidR="00D3426A">
        <w:rPr>
          <w:lang w:eastAsia="zh-CN"/>
        </w:rPr>
        <w:instrText xml:space="preserve"> REF _Ref86065100 \h </w:instrText>
      </w:r>
      <w:r w:rsidR="00D3426A">
        <w:rPr>
          <w:lang w:eastAsia="zh-CN"/>
        </w:rPr>
      </w:r>
      <w:r w:rsidR="00D3426A">
        <w:rPr>
          <w:lang w:eastAsia="zh-CN"/>
        </w:rPr>
        <w:fldChar w:fldCharType="separate"/>
      </w:r>
      <w:r w:rsidR="00D3426A">
        <w:t xml:space="preserve">Figure </w:t>
      </w:r>
      <w:r w:rsidR="00D3426A">
        <w:rPr>
          <w:noProof/>
        </w:rPr>
        <w:t>14</w:t>
      </w:r>
      <w:r w:rsidR="00D3426A">
        <w:rPr>
          <w:lang w:eastAsia="zh-CN"/>
        </w:rPr>
        <w:fldChar w:fldCharType="end"/>
      </w:r>
      <w:r w:rsidR="00CC0CDE">
        <w:rPr>
          <w:lang w:eastAsia="zh-CN"/>
        </w:rPr>
        <w:t xml:space="preserve"> </w:t>
      </w:r>
      <w:r w:rsidR="00C50CAB">
        <w:rPr>
          <w:lang w:eastAsia="zh-CN"/>
        </w:rPr>
        <w:t xml:space="preserve">is based on a capacity demand curve which utilizes a </w:t>
      </w:r>
      <w:r w:rsidR="00CE20B0">
        <w:rPr>
          <w:lang w:eastAsia="zh-CN"/>
        </w:rPr>
        <w:t xml:space="preserve">Net </w:t>
      </w:r>
      <w:r w:rsidR="00C50CAB">
        <w:rPr>
          <w:lang w:eastAsia="zh-CN"/>
        </w:rPr>
        <w:t xml:space="preserve">CONE </w:t>
      </w:r>
      <w:r w:rsidR="00CE20B0">
        <w:rPr>
          <w:lang w:eastAsia="zh-CN"/>
        </w:rPr>
        <w:t>that is</w:t>
      </w:r>
      <w:r w:rsidR="009D5B49">
        <w:rPr>
          <w:lang w:eastAsia="zh-CN"/>
        </w:rPr>
        <w:t xml:space="preserve"> </w:t>
      </w:r>
      <w:r w:rsidR="003318D8">
        <w:rPr>
          <w:lang w:eastAsia="zh-CN"/>
        </w:rPr>
        <w:t>based on 8.26 percent ATWACC</w:t>
      </w:r>
      <w:r w:rsidR="00902484">
        <w:rPr>
          <w:lang w:eastAsia="zh-CN"/>
        </w:rPr>
        <w:t xml:space="preserve">.  Similarly, the offers from new </w:t>
      </w:r>
      <w:r w:rsidR="000932AA">
        <w:rPr>
          <w:lang w:eastAsia="zh-CN"/>
        </w:rPr>
        <w:t xml:space="preserve">CTs and </w:t>
      </w:r>
      <w:r w:rsidR="00691C7F">
        <w:rPr>
          <w:lang w:eastAsia="zh-CN"/>
        </w:rPr>
        <w:t>merchant energy storage</w:t>
      </w:r>
      <w:r w:rsidR="000932AA">
        <w:rPr>
          <w:lang w:eastAsia="zh-CN"/>
        </w:rPr>
        <w:t xml:space="preserve"> </w:t>
      </w:r>
      <w:r w:rsidR="00902484">
        <w:rPr>
          <w:lang w:eastAsia="zh-CN"/>
        </w:rPr>
        <w:t>are</w:t>
      </w:r>
      <w:r w:rsidR="00E17AEB">
        <w:rPr>
          <w:lang w:eastAsia="zh-CN"/>
        </w:rPr>
        <w:t xml:space="preserve"> also</w:t>
      </w:r>
      <w:r w:rsidR="00902484">
        <w:rPr>
          <w:lang w:eastAsia="zh-CN"/>
        </w:rPr>
        <w:t xml:space="preserve"> based on a</w:t>
      </w:r>
      <w:r w:rsidR="00691C7F">
        <w:rPr>
          <w:lang w:eastAsia="zh-CN"/>
        </w:rPr>
        <w:t xml:space="preserve">n ATWACC of </w:t>
      </w:r>
      <w:r w:rsidR="00040843">
        <w:rPr>
          <w:lang w:eastAsia="zh-CN"/>
        </w:rPr>
        <w:t>8.26 percent</w:t>
      </w:r>
      <w:r w:rsidR="00691C7F">
        <w:rPr>
          <w:lang w:eastAsia="zh-CN"/>
        </w:rPr>
        <w:t xml:space="preserve">.  </w:t>
      </w:r>
      <w:r w:rsidR="00327529">
        <w:rPr>
          <w:lang w:eastAsia="zh-CN"/>
        </w:rPr>
        <w:t xml:space="preserve">This highlights an inconsistency </w:t>
      </w:r>
      <w:r w:rsidR="00F76A2A">
        <w:rPr>
          <w:lang w:eastAsia="zh-CN"/>
        </w:rPr>
        <w:t>between</w:t>
      </w:r>
      <w:r w:rsidR="00202AE8">
        <w:rPr>
          <w:lang w:eastAsia="zh-CN"/>
        </w:rPr>
        <w:t>:</w:t>
      </w:r>
      <w:r w:rsidR="00327529">
        <w:rPr>
          <w:lang w:eastAsia="zh-CN"/>
        </w:rPr>
        <w:t xml:space="preserve"> </w:t>
      </w:r>
    </w:p>
    <w:p w14:paraId="429EB8E2" w14:textId="035FAC41" w:rsidR="00202AE8" w:rsidRDefault="00125D78" w:rsidP="00627A1E">
      <w:pPr>
        <w:pStyle w:val="rptmainbodybullets1"/>
        <w:rPr>
          <w:lang w:eastAsia="zh-CN"/>
        </w:rPr>
      </w:pPr>
      <w:r>
        <w:rPr>
          <w:lang w:eastAsia="zh-CN"/>
        </w:rPr>
        <w:t xml:space="preserve">(a) </w:t>
      </w:r>
      <w:r w:rsidR="00202AE8">
        <w:rPr>
          <w:lang w:eastAsia="zh-CN"/>
        </w:rPr>
        <w:t xml:space="preserve">the COE and COD values </w:t>
      </w:r>
      <w:r w:rsidR="00F76A2A">
        <w:rPr>
          <w:lang w:eastAsia="zh-CN"/>
        </w:rPr>
        <w:t>that we assumed to estimate the revenue distribution</w:t>
      </w:r>
      <w:r w:rsidR="00AF6199" w:rsidRPr="00AF6199">
        <w:rPr>
          <w:lang w:eastAsia="zh-CN"/>
        </w:rPr>
        <w:t xml:space="preserve"> </w:t>
      </w:r>
      <w:r w:rsidR="00AF6199">
        <w:rPr>
          <w:lang w:eastAsia="zh-CN"/>
        </w:rPr>
        <w:t>in the No MOPR case</w:t>
      </w:r>
      <w:r w:rsidR="00F76A2A">
        <w:rPr>
          <w:lang w:eastAsia="zh-CN"/>
        </w:rPr>
        <w:t xml:space="preserve">, and </w:t>
      </w:r>
    </w:p>
    <w:p w14:paraId="60D041B9" w14:textId="4BB82DBE" w:rsidR="00327529" w:rsidRDefault="00125D78" w:rsidP="00627A1E">
      <w:pPr>
        <w:pStyle w:val="rptmainbodybullets1"/>
        <w:rPr>
          <w:lang w:eastAsia="zh-CN"/>
        </w:rPr>
      </w:pPr>
      <w:r>
        <w:rPr>
          <w:lang w:eastAsia="zh-CN"/>
        </w:rPr>
        <w:t xml:space="preserve">(b) </w:t>
      </w:r>
      <w:r w:rsidR="00202AE8">
        <w:rPr>
          <w:lang w:eastAsia="zh-CN"/>
        </w:rPr>
        <w:t xml:space="preserve">the COE and COD values </w:t>
      </w:r>
      <w:r w:rsidR="00F7764B">
        <w:rPr>
          <w:lang w:eastAsia="zh-CN"/>
        </w:rPr>
        <w:t>that are implied by the revenue distribution</w:t>
      </w:r>
      <w:r w:rsidR="00AF6199">
        <w:rPr>
          <w:lang w:eastAsia="zh-CN"/>
        </w:rPr>
        <w:t xml:space="preserve"> in the No MOPR case</w:t>
      </w:r>
      <w:r w:rsidR="00F7764B">
        <w:rPr>
          <w:lang w:eastAsia="zh-CN"/>
        </w:rPr>
        <w:t>.</w:t>
      </w:r>
    </w:p>
    <w:p w14:paraId="6421E3C5" w14:textId="5EB03AE9" w:rsidR="00EC4509" w:rsidRDefault="005F1147">
      <w:pPr>
        <w:pStyle w:val="rptmainbodytext"/>
        <w:rPr>
          <w:lang w:eastAsia="zh-CN"/>
        </w:rPr>
      </w:pPr>
      <w:r>
        <w:rPr>
          <w:lang w:eastAsia="zh-CN"/>
        </w:rPr>
        <w:t>As discussed in</w:t>
      </w:r>
      <w:r w:rsidR="00CA7788">
        <w:rPr>
          <w:lang w:eastAsia="zh-CN"/>
        </w:rPr>
        <w:t xml:space="preserve"> </w:t>
      </w:r>
      <w:r w:rsidR="00CA7788">
        <w:rPr>
          <w:lang w:eastAsia="zh-CN"/>
        </w:rPr>
        <w:fldChar w:fldCharType="begin"/>
      </w:r>
      <w:r w:rsidR="00CA7788">
        <w:rPr>
          <w:lang w:eastAsia="zh-CN"/>
        </w:rPr>
        <w:instrText xml:space="preserve"> REF _Ref84237600 \r \h </w:instrText>
      </w:r>
      <w:r w:rsidR="00CA7788">
        <w:rPr>
          <w:lang w:eastAsia="zh-CN"/>
        </w:rPr>
      </w:r>
      <w:r w:rsidR="00CA7788">
        <w:rPr>
          <w:lang w:eastAsia="zh-CN"/>
        </w:rPr>
        <w:fldChar w:fldCharType="separate"/>
      </w:r>
      <w:r w:rsidR="00CA7788">
        <w:rPr>
          <w:lang w:eastAsia="zh-CN"/>
        </w:rPr>
        <w:t>III</w:t>
      </w:r>
      <w:r w:rsidR="00CA7788">
        <w:rPr>
          <w:lang w:eastAsia="zh-CN"/>
        </w:rPr>
        <w:fldChar w:fldCharType="end"/>
      </w:r>
      <w:r w:rsidR="00CA7788">
        <w:rPr>
          <w:lang w:eastAsia="zh-CN"/>
        </w:rPr>
        <w:t>.</w:t>
      </w:r>
      <w:r w:rsidR="00CA7788">
        <w:rPr>
          <w:lang w:eastAsia="zh-CN"/>
        </w:rPr>
        <w:fldChar w:fldCharType="begin"/>
      </w:r>
      <w:r w:rsidR="00CA7788">
        <w:rPr>
          <w:lang w:eastAsia="zh-CN"/>
        </w:rPr>
        <w:instrText xml:space="preserve"> REF _Ref85454655 \r \h </w:instrText>
      </w:r>
      <w:r w:rsidR="00CA7788">
        <w:rPr>
          <w:lang w:eastAsia="zh-CN"/>
        </w:rPr>
      </w:r>
      <w:r w:rsidR="00CA7788">
        <w:rPr>
          <w:lang w:eastAsia="zh-CN"/>
        </w:rPr>
        <w:fldChar w:fldCharType="separate"/>
      </w:r>
      <w:r w:rsidR="00CA7788">
        <w:rPr>
          <w:lang w:eastAsia="zh-CN"/>
        </w:rPr>
        <w:t>B</w:t>
      </w:r>
      <w:r w:rsidR="00CA7788">
        <w:rPr>
          <w:lang w:eastAsia="zh-CN"/>
        </w:rPr>
        <w:fldChar w:fldCharType="end"/>
      </w:r>
      <w:r w:rsidR="00CA7788">
        <w:rPr>
          <w:lang w:eastAsia="zh-CN"/>
        </w:rPr>
        <w:t>.</w:t>
      </w:r>
      <w:r w:rsidR="00CA7788">
        <w:rPr>
          <w:lang w:eastAsia="zh-CN"/>
        </w:rPr>
        <w:fldChar w:fldCharType="begin"/>
      </w:r>
      <w:r w:rsidR="00CA7788">
        <w:rPr>
          <w:lang w:eastAsia="zh-CN"/>
        </w:rPr>
        <w:instrText xml:space="preserve"> REF _Ref85456725 \r \h </w:instrText>
      </w:r>
      <w:r w:rsidR="00CA7788">
        <w:rPr>
          <w:lang w:eastAsia="zh-CN"/>
        </w:rPr>
      </w:r>
      <w:r w:rsidR="00CA7788">
        <w:rPr>
          <w:lang w:eastAsia="zh-CN"/>
        </w:rPr>
        <w:fldChar w:fldCharType="separate"/>
      </w:r>
      <w:r w:rsidR="00CA7788">
        <w:rPr>
          <w:lang w:eastAsia="zh-CN"/>
        </w:rPr>
        <w:t>3</w:t>
      </w:r>
      <w:r w:rsidR="00CA7788">
        <w:rPr>
          <w:lang w:eastAsia="zh-CN"/>
        </w:rPr>
        <w:fldChar w:fldCharType="end"/>
      </w:r>
      <w:r>
        <w:rPr>
          <w:lang w:eastAsia="zh-CN"/>
        </w:rPr>
        <w:t xml:space="preserve">, we </w:t>
      </w:r>
      <w:r w:rsidR="00F7764B">
        <w:rPr>
          <w:lang w:eastAsia="zh-CN"/>
        </w:rPr>
        <w:t>address this inconsistency</w:t>
      </w:r>
      <w:r>
        <w:rPr>
          <w:lang w:eastAsia="zh-CN"/>
        </w:rPr>
        <w:t xml:space="preserve"> </w:t>
      </w:r>
      <w:r w:rsidR="00584F8A">
        <w:rPr>
          <w:lang w:eastAsia="zh-CN"/>
        </w:rPr>
        <w:t xml:space="preserve">through iterations </w:t>
      </w:r>
      <w:r w:rsidR="004078F0">
        <w:rPr>
          <w:lang w:eastAsia="zh-CN"/>
        </w:rPr>
        <w:t>in which we</w:t>
      </w:r>
      <w:r>
        <w:rPr>
          <w:lang w:eastAsia="zh-CN"/>
        </w:rPr>
        <w:t xml:space="preserve"> </w:t>
      </w:r>
      <w:r w:rsidR="0072767D">
        <w:rPr>
          <w:lang w:eastAsia="zh-CN"/>
        </w:rPr>
        <w:t>gradually changing the assumed COE and COD values</w:t>
      </w:r>
      <w:r w:rsidR="00125D78">
        <w:rPr>
          <w:lang w:eastAsia="zh-CN"/>
        </w:rPr>
        <w:t xml:space="preserve"> </w:t>
      </w:r>
      <w:r w:rsidR="00C31DC2">
        <w:rPr>
          <w:lang w:eastAsia="zh-CN"/>
        </w:rPr>
        <w:t xml:space="preserve">such that the difference </w:t>
      </w:r>
      <w:r w:rsidR="00202AE8">
        <w:rPr>
          <w:lang w:eastAsia="zh-CN"/>
        </w:rPr>
        <w:t>between (a) and (b) above</w:t>
      </w:r>
      <w:r w:rsidR="00C31DC2">
        <w:rPr>
          <w:lang w:eastAsia="zh-CN"/>
        </w:rPr>
        <w:t xml:space="preserve"> is </w:t>
      </w:r>
      <w:r w:rsidR="00E6092C">
        <w:rPr>
          <w:lang w:eastAsia="zh-CN"/>
        </w:rPr>
        <w:t>reduced</w:t>
      </w:r>
      <w:r w:rsidR="00DF7D5F">
        <w:rPr>
          <w:lang w:eastAsia="zh-CN"/>
        </w:rPr>
        <w:t>.</w:t>
      </w:r>
      <w:r w:rsidR="00914AFD">
        <w:rPr>
          <w:lang w:eastAsia="zh-CN"/>
        </w:rPr>
        <w:t xml:space="preserve">  </w:t>
      </w:r>
      <w:r w:rsidR="00407970">
        <w:rPr>
          <w:lang w:eastAsia="zh-CN"/>
        </w:rPr>
        <w:fldChar w:fldCharType="begin"/>
      </w:r>
      <w:r w:rsidR="00407970">
        <w:rPr>
          <w:lang w:eastAsia="zh-CN"/>
        </w:rPr>
        <w:instrText xml:space="preserve"> REF _Ref86065210 \h </w:instrText>
      </w:r>
      <w:r w:rsidR="00407970">
        <w:rPr>
          <w:lang w:eastAsia="zh-CN"/>
        </w:rPr>
      </w:r>
      <w:r w:rsidR="00407970">
        <w:rPr>
          <w:lang w:eastAsia="zh-CN"/>
        </w:rPr>
        <w:fldChar w:fldCharType="separate"/>
      </w:r>
      <w:r w:rsidR="00407970">
        <w:t xml:space="preserve">Figure </w:t>
      </w:r>
      <w:r w:rsidR="00407970">
        <w:rPr>
          <w:noProof/>
        </w:rPr>
        <w:t>15</w:t>
      </w:r>
      <w:r w:rsidR="00407970">
        <w:rPr>
          <w:lang w:eastAsia="zh-CN"/>
        </w:rPr>
        <w:fldChar w:fldCharType="end"/>
      </w:r>
      <w:r w:rsidR="00407970">
        <w:rPr>
          <w:lang w:eastAsia="zh-CN"/>
        </w:rPr>
        <w:t xml:space="preserve"> </w:t>
      </w:r>
      <w:r w:rsidR="00A314FF">
        <w:rPr>
          <w:lang w:eastAsia="zh-CN"/>
        </w:rPr>
        <w:t xml:space="preserve">shows the </w:t>
      </w:r>
      <w:r w:rsidR="00D15F35">
        <w:rPr>
          <w:lang w:eastAsia="zh-CN"/>
        </w:rPr>
        <w:t>results of the</w:t>
      </w:r>
      <w:r w:rsidR="00125D78">
        <w:rPr>
          <w:lang w:eastAsia="zh-CN"/>
        </w:rPr>
        <w:t>se</w:t>
      </w:r>
      <w:r w:rsidR="00D15F35">
        <w:rPr>
          <w:lang w:eastAsia="zh-CN"/>
        </w:rPr>
        <w:t xml:space="preserve"> iterations </w:t>
      </w:r>
      <w:r w:rsidR="00125D78">
        <w:rPr>
          <w:lang w:eastAsia="zh-CN"/>
        </w:rPr>
        <w:t>for the debt ratio</w:t>
      </w:r>
      <w:r w:rsidR="005B2285">
        <w:rPr>
          <w:lang w:eastAsia="zh-CN"/>
        </w:rPr>
        <w:t xml:space="preserve"> </w:t>
      </w:r>
      <w:r w:rsidR="00125D78">
        <w:rPr>
          <w:lang w:eastAsia="zh-CN"/>
        </w:rPr>
        <w:t>of 55%.</w:t>
      </w:r>
      <w:r w:rsidR="005B2285">
        <w:rPr>
          <w:lang w:eastAsia="zh-CN"/>
        </w:rPr>
        <w:t xml:space="preserve"> </w:t>
      </w:r>
      <w:r w:rsidR="00CC655F">
        <w:rPr>
          <w:lang w:eastAsia="zh-CN"/>
        </w:rPr>
        <w:t xml:space="preserve"> </w:t>
      </w:r>
      <w:r w:rsidR="00C31DC2">
        <w:rPr>
          <w:lang w:eastAsia="zh-CN"/>
        </w:rPr>
        <w:t xml:space="preserve">The </w:t>
      </w:r>
      <w:r w:rsidR="00D86EB6">
        <w:rPr>
          <w:lang w:eastAsia="zh-CN"/>
        </w:rPr>
        <w:t xml:space="preserve">results indicate that the </w:t>
      </w:r>
      <w:r w:rsidR="00C31DC2">
        <w:rPr>
          <w:lang w:eastAsia="zh-CN"/>
        </w:rPr>
        <w:t xml:space="preserve">assumed and implied values of COE and COD </w:t>
      </w:r>
      <w:r w:rsidR="00555C72">
        <w:rPr>
          <w:lang w:eastAsia="zh-CN"/>
        </w:rPr>
        <w:t>con</w:t>
      </w:r>
      <w:r w:rsidR="00460C12">
        <w:rPr>
          <w:lang w:eastAsia="zh-CN"/>
        </w:rPr>
        <w:t xml:space="preserve">verge reasonably well after 10 iterations.  Ultimately, we </w:t>
      </w:r>
      <w:r w:rsidR="00EC4509">
        <w:rPr>
          <w:lang w:eastAsia="zh-CN"/>
        </w:rPr>
        <w:t xml:space="preserve">estimate final COE and COD </w:t>
      </w:r>
      <w:r w:rsidR="00FC0452">
        <w:rPr>
          <w:lang w:eastAsia="zh-CN"/>
        </w:rPr>
        <w:t xml:space="preserve">values at </w:t>
      </w:r>
      <w:r w:rsidR="00EC4509">
        <w:rPr>
          <w:lang w:eastAsia="zh-CN"/>
        </w:rPr>
        <w:t xml:space="preserve">a debt ratio of 55 percent </w:t>
      </w:r>
      <w:r w:rsidR="00FC0452">
        <w:rPr>
          <w:lang w:eastAsia="zh-CN"/>
        </w:rPr>
        <w:t xml:space="preserve">as </w:t>
      </w:r>
      <w:r w:rsidR="00EC4509">
        <w:rPr>
          <w:lang w:eastAsia="zh-CN"/>
        </w:rPr>
        <w:t>15.</w:t>
      </w:r>
      <w:r w:rsidR="00077262">
        <w:rPr>
          <w:lang w:eastAsia="zh-CN"/>
        </w:rPr>
        <w:t>8</w:t>
      </w:r>
      <w:r w:rsidR="00494081">
        <w:rPr>
          <w:lang w:eastAsia="zh-CN"/>
        </w:rPr>
        <w:t>8</w:t>
      </w:r>
      <w:r w:rsidR="00EC4509">
        <w:rPr>
          <w:lang w:eastAsia="zh-CN"/>
        </w:rPr>
        <w:t xml:space="preserve"> percent and 10.</w:t>
      </w:r>
      <w:r w:rsidR="00494081">
        <w:rPr>
          <w:lang w:eastAsia="zh-CN"/>
        </w:rPr>
        <w:t xml:space="preserve">56 </w:t>
      </w:r>
      <w:r w:rsidR="00EC4509">
        <w:rPr>
          <w:lang w:eastAsia="zh-CN"/>
        </w:rPr>
        <w:t>percent.</w:t>
      </w:r>
    </w:p>
    <w:p w14:paraId="6F7F664F" w14:textId="0C419316" w:rsidR="008B655A" w:rsidRDefault="009E5545">
      <w:pPr>
        <w:pStyle w:val="rptmainbodyfiguretitle1"/>
        <w:rPr>
          <w:lang w:eastAsia="zh-CN"/>
        </w:rPr>
      </w:pPr>
      <w:bookmarkStart w:id="954" w:name="_Ref86065210"/>
      <w:bookmarkStart w:id="955" w:name="_Toc86727544"/>
      <w:r>
        <w:lastRenderedPageBreak/>
        <w:t xml:space="preserve">Figure </w:t>
      </w:r>
      <w:r>
        <w:fldChar w:fldCharType="begin"/>
      </w:r>
      <w:r>
        <w:instrText>SEQ Figure \* ARABIC</w:instrText>
      </w:r>
      <w:r>
        <w:fldChar w:fldCharType="separate"/>
      </w:r>
      <w:r w:rsidR="00401666">
        <w:rPr>
          <w:noProof/>
        </w:rPr>
        <w:t>15</w:t>
      </w:r>
      <w:r>
        <w:fldChar w:fldCharType="end"/>
      </w:r>
      <w:bookmarkEnd w:id="954"/>
      <w:r>
        <w:rPr>
          <w:lang w:eastAsia="zh-CN"/>
        </w:rPr>
        <w:t>:</w:t>
      </w:r>
      <w:r w:rsidR="008B655A">
        <w:rPr>
          <w:lang w:eastAsia="zh-CN"/>
        </w:rPr>
        <w:t xml:space="preserve"> </w:t>
      </w:r>
      <w:r w:rsidR="008B655A" w:rsidRPr="008B655A">
        <w:rPr>
          <w:lang w:eastAsia="zh-CN"/>
        </w:rPr>
        <w:t>Iterations to determine COE and COD in No MOPR Case</w:t>
      </w:r>
      <w:bookmarkEnd w:id="955"/>
    </w:p>
    <w:p w14:paraId="315CC50B" w14:textId="1F5DEBEB" w:rsidR="005E0225" w:rsidRDefault="00547437" w:rsidP="001411AA">
      <w:pPr>
        <w:pStyle w:val="rptmainbodyfiguretitle2"/>
        <w:rPr>
          <w:lang w:eastAsia="zh-CN"/>
        </w:rPr>
      </w:pPr>
      <w:r>
        <w:rPr>
          <w:lang w:eastAsia="zh-CN"/>
        </w:rPr>
        <w:t>At 55 percent debt ratio</w:t>
      </w:r>
    </w:p>
    <w:p w14:paraId="54E8EAEA" w14:textId="27E646DC" w:rsidR="0077309D" w:rsidRDefault="00970C64" w:rsidP="009E572C">
      <w:pPr>
        <w:pStyle w:val="rptmainbodyfigure"/>
        <w:rPr>
          <w:lang w:eastAsia="zh-CN"/>
        </w:rPr>
      </w:pPr>
      <w:r w:rsidRPr="00970C64">
        <w:drawing>
          <wp:inline distT="0" distB="0" distL="0" distR="0" wp14:anchorId="245F4BCE" wp14:editId="5A4894C4">
            <wp:extent cx="5837463" cy="3831771"/>
            <wp:effectExtent l="0" t="0" r="0" b="0"/>
            <wp:docPr id="458" name="Picture 4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rotWithShape="1">
                    <a:blip r:embed="rId48" cstate="print">
                      <a:extLst>
                        <a:ext uri="{28A0092B-C50C-407E-A947-70E740481C1C}">
                          <a14:useLocalDpi xmlns:a14="http://schemas.microsoft.com/office/drawing/2010/main" val="0"/>
                        </a:ext>
                      </a:extLst>
                    </a:blip>
                    <a:srcRect t="9434"/>
                    <a:stretch/>
                  </pic:blipFill>
                  <pic:spPr bwMode="auto">
                    <a:xfrm>
                      <a:off x="0" y="0"/>
                      <a:ext cx="5841809" cy="3834624"/>
                    </a:xfrm>
                    <a:prstGeom prst="rect">
                      <a:avLst/>
                    </a:prstGeom>
                    <a:noFill/>
                    <a:ln>
                      <a:noFill/>
                    </a:ln>
                    <a:extLst>
                      <a:ext uri="{53640926-AAD7-44D8-BBD7-CCE9431645EC}">
                        <a14:shadowObscured xmlns:a14="http://schemas.microsoft.com/office/drawing/2010/main"/>
                      </a:ext>
                    </a:extLst>
                  </pic:spPr>
                </pic:pic>
              </a:graphicData>
            </a:graphic>
          </wp:inline>
        </w:drawing>
      </w:r>
    </w:p>
    <w:p w14:paraId="0A1C7D4B" w14:textId="21A30A3D" w:rsidR="000A2AE6" w:rsidRPr="00CF762A" w:rsidRDefault="00197D5B">
      <w:pPr>
        <w:pStyle w:val="rptmainbodyheading3"/>
        <w:rPr>
          <w:lang w:eastAsia="zh-CN"/>
        </w:rPr>
      </w:pPr>
      <w:r>
        <w:rPr>
          <w:lang w:eastAsia="zh-CN"/>
        </w:rPr>
        <w:t xml:space="preserve">Estimated </w:t>
      </w:r>
      <w:r w:rsidRPr="00197D5B">
        <w:rPr>
          <w:lang w:eastAsia="zh-CN"/>
        </w:rPr>
        <w:t xml:space="preserve">Optimal </w:t>
      </w:r>
      <w:r>
        <w:rPr>
          <w:lang w:eastAsia="zh-CN"/>
        </w:rPr>
        <w:t>L</w:t>
      </w:r>
      <w:r w:rsidRPr="00197D5B">
        <w:rPr>
          <w:lang w:eastAsia="zh-CN"/>
        </w:rPr>
        <w:t xml:space="preserve">everage </w:t>
      </w:r>
      <w:r>
        <w:rPr>
          <w:lang w:eastAsia="zh-CN"/>
        </w:rPr>
        <w:t>R</w:t>
      </w:r>
      <w:r w:rsidRPr="00197D5B">
        <w:rPr>
          <w:lang w:eastAsia="zh-CN"/>
        </w:rPr>
        <w:t xml:space="preserve">atio and </w:t>
      </w:r>
      <w:r w:rsidR="00CB2EB8">
        <w:rPr>
          <w:lang w:eastAsia="zh-CN"/>
        </w:rPr>
        <w:t>F</w:t>
      </w:r>
      <w:r w:rsidRPr="00197D5B">
        <w:rPr>
          <w:lang w:eastAsia="zh-CN"/>
        </w:rPr>
        <w:t xml:space="preserve">inal </w:t>
      </w:r>
      <w:r w:rsidR="00CB2EB8">
        <w:rPr>
          <w:lang w:eastAsia="zh-CN"/>
        </w:rPr>
        <w:t>AT</w:t>
      </w:r>
      <w:r w:rsidRPr="00197D5B">
        <w:rPr>
          <w:lang w:eastAsia="zh-CN"/>
        </w:rPr>
        <w:t>WACC</w:t>
      </w:r>
    </w:p>
    <w:p w14:paraId="4B13CA95" w14:textId="187C116F" w:rsidR="00B6447C" w:rsidRDefault="0036327A" w:rsidP="00BC1960">
      <w:pPr>
        <w:pStyle w:val="rptmainbodytext"/>
        <w:rPr>
          <w:lang w:eastAsia="zh-CN"/>
        </w:rPr>
      </w:pPr>
      <w:r>
        <w:rPr>
          <w:lang w:eastAsia="zh-CN"/>
        </w:rPr>
        <w:t xml:space="preserve">As discussed in </w:t>
      </w:r>
      <w:r w:rsidR="00ED0E6B">
        <w:rPr>
          <w:lang w:eastAsia="zh-CN"/>
        </w:rPr>
        <w:fldChar w:fldCharType="begin"/>
      </w:r>
      <w:r w:rsidR="00ED0E6B">
        <w:rPr>
          <w:lang w:eastAsia="zh-CN"/>
        </w:rPr>
        <w:instrText xml:space="preserve"> REF _Ref84237600 \r \h </w:instrText>
      </w:r>
      <w:r w:rsidR="00ED0E6B">
        <w:rPr>
          <w:lang w:eastAsia="zh-CN"/>
        </w:rPr>
      </w:r>
      <w:r w:rsidR="00ED0E6B">
        <w:rPr>
          <w:lang w:eastAsia="zh-CN"/>
        </w:rPr>
        <w:fldChar w:fldCharType="separate"/>
      </w:r>
      <w:r w:rsidR="00ED0E6B">
        <w:rPr>
          <w:lang w:eastAsia="zh-CN"/>
        </w:rPr>
        <w:t>III</w:t>
      </w:r>
      <w:r w:rsidR="00ED0E6B">
        <w:rPr>
          <w:lang w:eastAsia="zh-CN"/>
        </w:rPr>
        <w:fldChar w:fldCharType="end"/>
      </w:r>
      <w:r w:rsidR="00ED0E6B">
        <w:rPr>
          <w:lang w:eastAsia="zh-CN"/>
        </w:rPr>
        <w:t>.</w:t>
      </w:r>
      <w:r w:rsidR="00ED0E6B">
        <w:rPr>
          <w:lang w:eastAsia="zh-CN"/>
        </w:rPr>
        <w:fldChar w:fldCharType="begin"/>
      </w:r>
      <w:r w:rsidR="00ED0E6B">
        <w:rPr>
          <w:lang w:eastAsia="zh-CN"/>
        </w:rPr>
        <w:instrText xml:space="preserve"> REF _Ref85456900 \r \h </w:instrText>
      </w:r>
      <w:r w:rsidR="00ED0E6B">
        <w:rPr>
          <w:lang w:eastAsia="zh-CN"/>
        </w:rPr>
      </w:r>
      <w:r w:rsidR="00ED0E6B">
        <w:rPr>
          <w:lang w:eastAsia="zh-CN"/>
        </w:rPr>
        <w:fldChar w:fldCharType="separate"/>
      </w:r>
      <w:r w:rsidR="00ED0E6B">
        <w:rPr>
          <w:lang w:eastAsia="zh-CN"/>
        </w:rPr>
        <w:t>B</w:t>
      </w:r>
      <w:r w:rsidR="00ED0E6B">
        <w:rPr>
          <w:lang w:eastAsia="zh-CN"/>
        </w:rPr>
        <w:fldChar w:fldCharType="end"/>
      </w:r>
      <w:r>
        <w:rPr>
          <w:lang w:eastAsia="zh-CN"/>
        </w:rPr>
        <w:t xml:space="preserve">, we </w:t>
      </w:r>
      <w:r w:rsidR="00E64783">
        <w:rPr>
          <w:lang w:eastAsia="zh-CN"/>
        </w:rPr>
        <w:t xml:space="preserve">evaluate </w:t>
      </w:r>
      <w:r w:rsidR="00A6646E">
        <w:rPr>
          <w:lang w:eastAsia="zh-CN"/>
        </w:rPr>
        <w:t xml:space="preserve">whether the overall ATWACC can be lowered by </w:t>
      </w:r>
      <w:r w:rsidR="00E64783">
        <w:rPr>
          <w:lang w:eastAsia="zh-CN"/>
        </w:rPr>
        <w:t xml:space="preserve">adjusting </w:t>
      </w:r>
      <w:r w:rsidR="00A6646E">
        <w:rPr>
          <w:lang w:eastAsia="zh-CN"/>
        </w:rPr>
        <w:t xml:space="preserve">the debt ratio in the No MOPR case.  </w:t>
      </w:r>
      <w:r w:rsidR="00407970">
        <w:rPr>
          <w:lang w:eastAsia="zh-CN"/>
        </w:rPr>
        <w:fldChar w:fldCharType="begin"/>
      </w:r>
      <w:r w:rsidR="00407970">
        <w:rPr>
          <w:lang w:eastAsia="zh-CN"/>
        </w:rPr>
        <w:instrText xml:space="preserve"> REF _Ref86065243 \h </w:instrText>
      </w:r>
      <w:r w:rsidR="00407970">
        <w:rPr>
          <w:lang w:eastAsia="zh-CN"/>
        </w:rPr>
      </w:r>
      <w:r w:rsidR="00407970">
        <w:rPr>
          <w:lang w:eastAsia="zh-CN"/>
        </w:rPr>
        <w:fldChar w:fldCharType="separate"/>
      </w:r>
      <w:r w:rsidR="00407970">
        <w:t xml:space="preserve">Figure </w:t>
      </w:r>
      <w:r w:rsidR="00407970">
        <w:rPr>
          <w:noProof/>
        </w:rPr>
        <w:t>16</w:t>
      </w:r>
      <w:r w:rsidR="00407970">
        <w:rPr>
          <w:lang w:eastAsia="zh-CN"/>
        </w:rPr>
        <w:fldChar w:fldCharType="end"/>
      </w:r>
      <w:r w:rsidR="00407970">
        <w:rPr>
          <w:lang w:eastAsia="zh-CN"/>
        </w:rPr>
        <w:t xml:space="preserve"> </w:t>
      </w:r>
      <w:r w:rsidR="00841FAC">
        <w:rPr>
          <w:lang w:eastAsia="zh-CN"/>
        </w:rPr>
        <w:t xml:space="preserve">shows the results of this evaluation.  </w:t>
      </w:r>
      <w:r w:rsidR="00340812">
        <w:rPr>
          <w:lang w:eastAsia="zh-CN"/>
        </w:rPr>
        <w:t xml:space="preserve">For each level of assumed debt ratio, the </w:t>
      </w:r>
      <w:r w:rsidR="00841FAC">
        <w:rPr>
          <w:lang w:eastAsia="zh-CN"/>
        </w:rPr>
        <w:t>figure shows</w:t>
      </w:r>
      <w:r w:rsidR="00EB6155">
        <w:rPr>
          <w:lang w:eastAsia="zh-CN"/>
        </w:rPr>
        <w:t xml:space="preserve"> </w:t>
      </w:r>
      <w:r w:rsidR="00841FAC">
        <w:rPr>
          <w:lang w:eastAsia="zh-CN"/>
        </w:rPr>
        <w:t xml:space="preserve">the </w:t>
      </w:r>
      <w:r w:rsidR="006C39F0">
        <w:rPr>
          <w:lang w:eastAsia="zh-CN"/>
        </w:rPr>
        <w:t xml:space="preserve">estimated </w:t>
      </w:r>
      <w:r w:rsidR="00EB6155">
        <w:rPr>
          <w:lang w:eastAsia="zh-CN"/>
        </w:rPr>
        <w:t xml:space="preserve">ATWACC </w:t>
      </w:r>
      <w:r w:rsidR="006C39F0">
        <w:rPr>
          <w:lang w:eastAsia="zh-CN"/>
        </w:rPr>
        <w:t>in the No MOPR case</w:t>
      </w:r>
      <w:r w:rsidR="00621482">
        <w:rPr>
          <w:lang w:eastAsia="zh-CN"/>
        </w:rPr>
        <w:t>.</w:t>
      </w:r>
    </w:p>
    <w:p w14:paraId="6DDC9569" w14:textId="227DA44B" w:rsidR="00B0363D" w:rsidRDefault="009E5545">
      <w:pPr>
        <w:pStyle w:val="rptmainbodyfiguretitle1"/>
        <w:rPr>
          <w:lang w:eastAsia="zh-CN"/>
        </w:rPr>
      </w:pPr>
      <w:bookmarkStart w:id="956" w:name="_Ref86065243"/>
      <w:bookmarkStart w:id="957" w:name="_Toc86727545"/>
      <w:r>
        <w:lastRenderedPageBreak/>
        <w:t xml:space="preserve">Figure </w:t>
      </w:r>
      <w:r>
        <w:fldChar w:fldCharType="begin"/>
      </w:r>
      <w:r>
        <w:instrText>SEQ Figure \* ARABIC</w:instrText>
      </w:r>
      <w:r>
        <w:fldChar w:fldCharType="separate"/>
      </w:r>
      <w:r w:rsidR="00401666">
        <w:rPr>
          <w:noProof/>
        </w:rPr>
        <w:t>16</w:t>
      </w:r>
      <w:r>
        <w:fldChar w:fldCharType="end"/>
      </w:r>
      <w:bookmarkEnd w:id="956"/>
      <w:r w:rsidR="00407970">
        <w:t>:</w:t>
      </w:r>
      <w:r w:rsidR="00407970" w:rsidRPr="00407970">
        <w:rPr>
          <w:lang w:eastAsia="zh-CN"/>
        </w:rPr>
        <w:t xml:space="preserve"> </w:t>
      </w:r>
      <w:r w:rsidR="00407970">
        <w:rPr>
          <w:lang w:eastAsia="zh-CN"/>
        </w:rPr>
        <w:t>Change in ATWACC with Leverage</w:t>
      </w:r>
      <w:bookmarkEnd w:id="957"/>
      <w:r w:rsidR="00B0363D">
        <w:rPr>
          <w:lang w:eastAsia="zh-CN"/>
        </w:rPr>
        <w:t xml:space="preserve"> </w:t>
      </w:r>
    </w:p>
    <w:p w14:paraId="29F45F41" w14:textId="49148339" w:rsidR="00014A2B" w:rsidRDefault="00D04A92" w:rsidP="00014A2B">
      <w:pPr>
        <w:pStyle w:val="rptmainbodyfigure"/>
        <w:rPr>
          <w:lang w:eastAsia="zh-CN"/>
        </w:rPr>
      </w:pPr>
      <w:r w:rsidRPr="00D04A92">
        <w:rPr>
          <w:lang w:eastAsia="zh-CN"/>
        </w:rPr>
        <w:t xml:space="preserve"> </w:t>
      </w:r>
      <w:r w:rsidR="008C05EB" w:rsidRPr="008C05EB">
        <w:drawing>
          <wp:inline distT="0" distB="0" distL="0" distR="0" wp14:anchorId="62D7A657" wp14:editId="22BFEA4F">
            <wp:extent cx="5495925" cy="3419475"/>
            <wp:effectExtent l="0" t="0" r="9525" b="9525"/>
            <wp:docPr id="459" name="Picture 4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rotWithShape="1">
                    <a:blip r:embed="rId49" cstate="print">
                      <a:extLst>
                        <a:ext uri="{28A0092B-C50C-407E-A947-70E740481C1C}">
                          <a14:useLocalDpi xmlns:a14="http://schemas.microsoft.com/office/drawing/2010/main" val="0"/>
                        </a:ext>
                      </a:extLst>
                    </a:blip>
                    <a:srcRect l="5609" t="14830" r="1923" b="5711"/>
                    <a:stretch/>
                  </pic:blipFill>
                  <pic:spPr bwMode="auto">
                    <a:xfrm>
                      <a:off x="0" y="0"/>
                      <a:ext cx="5495925" cy="3419475"/>
                    </a:xfrm>
                    <a:prstGeom prst="rect">
                      <a:avLst/>
                    </a:prstGeom>
                    <a:noFill/>
                    <a:ln>
                      <a:noFill/>
                    </a:ln>
                    <a:extLst>
                      <a:ext uri="{53640926-AAD7-44D8-BBD7-CCE9431645EC}">
                        <a14:shadowObscured xmlns:a14="http://schemas.microsoft.com/office/drawing/2010/main"/>
                      </a:ext>
                    </a:extLst>
                  </pic:spPr>
                </pic:pic>
              </a:graphicData>
            </a:graphic>
          </wp:inline>
        </w:drawing>
      </w:r>
    </w:p>
    <w:p w14:paraId="7BB3DD86" w14:textId="57FD60D0" w:rsidR="003A4D35" w:rsidRDefault="00556B45" w:rsidP="00BC1960">
      <w:pPr>
        <w:pStyle w:val="rptmainbodytext"/>
        <w:rPr>
          <w:lang w:eastAsia="zh-CN"/>
        </w:rPr>
      </w:pPr>
      <w:r>
        <w:rPr>
          <w:lang w:eastAsia="zh-CN"/>
        </w:rPr>
        <w:t>O</w:t>
      </w:r>
      <w:r w:rsidR="002C26E5">
        <w:rPr>
          <w:lang w:eastAsia="zh-CN"/>
        </w:rPr>
        <w:t xml:space="preserve">ur analysis indicates that the </w:t>
      </w:r>
      <w:r w:rsidR="00CA65B1">
        <w:rPr>
          <w:lang w:eastAsia="zh-CN"/>
        </w:rPr>
        <w:t xml:space="preserve">optimal debt ratio in the No MOPR case is </w:t>
      </w:r>
      <w:r w:rsidR="008A2591">
        <w:rPr>
          <w:lang w:eastAsia="zh-CN"/>
        </w:rPr>
        <w:t xml:space="preserve">approximately </w:t>
      </w:r>
      <w:r w:rsidR="00CA65B1">
        <w:rPr>
          <w:lang w:eastAsia="zh-CN"/>
        </w:rPr>
        <w:t>40 percent</w:t>
      </w:r>
      <w:r w:rsidR="003A4D35">
        <w:rPr>
          <w:lang w:eastAsia="zh-CN"/>
        </w:rPr>
        <w:t>.  At this debt ratio:</w:t>
      </w:r>
    </w:p>
    <w:p w14:paraId="2B89C47D" w14:textId="75EBBC86" w:rsidR="003A4D35" w:rsidRDefault="003A4D35" w:rsidP="001411AA">
      <w:pPr>
        <w:pStyle w:val="rptmainbodybullets1"/>
        <w:rPr>
          <w:lang w:eastAsia="zh-CN"/>
        </w:rPr>
      </w:pPr>
      <w:r>
        <w:rPr>
          <w:lang w:eastAsia="zh-CN"/>
        </w:rPr>
        <w:t xml:space="preserve">The COD </w:t>
      </w:r>
      <w:r w:rsidR="008A2591">
        <w:rPr>
          <w:lang w:eastAsia="zh-CN"/>
        </w:rPr>
        <w:t xml:space="preserve">in the No MOPR case </w:t>
      </w:r>
      <w:r>
        <w:rPr>
          <w:lang w:eastAsia="zh-CN"/>
        </w:rPr>
        <w:t xml:space="preserve">is reduced to </w:t>
      </w:r>
      <w:r w:rsidR="00B960F2">
        <w:rPr>
          <w:lang w:eastAsia="zh-CN"/>
        </w:rPr>
        <w:t>5.</w:t>
      </w:r>
      <w:r w:rsidR="0051025E">
        <w:rPr>
          <w:lang w:eastAsia="zh-CN"/>
        </w:rPr>
        <w:t>12</w:t>
      </w:r>
      <w:r w:rsidR="00B960F2">
        <w:rPr>
          <w:lang w:eastAsia="zh-CN"/>
        </w:rPr>
        <w:t xml:space="preserve"> percent</w:t>
      </w:r>
      <w:r w:rsidR="005764A4">
        <w:rPr>
          <w:lang w:eastAsia="zh-CN"/>
        </w:rPr>
        <w:t xml:space="preserve"> </w:t>
      </w:r>
      <w:r w:rsidR="00D85B04">
        <w:rPr>
          <w:lang w:eastAsia="zh-CN"/>
        </w:rPr>
        <w:t>(compared</w:t>
      </w:r>
      <w:r w:rsidR="005764A4">
        <w:rPr>
          <w:lang w:eastAsia="zh-CN"/>
        </w:rPr>
        <w:t xml:space="preserve"> to the COD at</w:t>
      </w:r>
      <w:r w:rsidR="00CA517D">
        <w:rPr>
          <w:lang w:eastAsia="zh-CN"/>
        </w:rPr>
        <w:t xml:space="preserve"> a</w:t>
      </w:r>
      <w:r w:rsidR="005764A4">
        <w:rPr>
          <w:lang w:eastAsia="zh-CN"/>
        </w:rPr>
        <w:t xml:space="preserve"> 55 percent debt ratio</w:t>
      </w:r>
      <w:r w:rsidR="00A443E0">
        <w:rPr>
          <w:lang w:eastAsia="zh-CN"/>
        </w:rPr>
        <w:t>)</w:t>
      </w:r>
      <w:r>
        <w:rPr>
          <w:lang w:eastAsia="zh-CN"/>
        </w:rPr>
        <w:t xml:space="preserve">.  This is because the </w:t>
      </w:r>
      <w:r w:rsidR="006422C4">
        <w:rPr>
          <w:lang w:eastAsia="zh-CN"/>
        </w:rPr>
        <w:t xml:space="preserve">Rating Case </w:t>
      </w:r>
      <w:r>
        <w:rPr>
          <w:lang w:eastAsia="zh-CN"/>
        </w:rPr>
        <w:t>DSCR improve</w:t>
      </w:r>
      <w:r w:rsidR="006422C4">
        <w:rPr>
          <w:lang w:eastAsia="zh-CN"/>
        </w:rPr>
        <w:t xml:space="preserve">d from </w:t>
      </w:r>
      <w:r w:rsidR="00E64783">
        <w:rPr>
          <w:lang w:eastAsia="zh-CN"/>
        </w:rPr>
        <w:t>0.8</w:t>
      </w:r>
      <w:r w:rsidR="008647A7">
        <w:rPr>
          <w:lang w:eastAsia="zh-CN"/>
        </w:rPr>
        <w:t>2</w:t>
      </w:r>
      <w:r w:rsidR="006422C4">
        <w:rPr>
          <w:lang w:eastAsia="zh-CN"/>
        </w:rPr>
        <w:t xml:space="preserve"> </w:t>
      </w:r>
      <w:r w:rsidR="005764A4">
        <w:rPr>
          <w:lang w:eastAsia="zh-CN"/>
        </w:rPr>
        <w:t>at</w:t>
      </w:r>
      <w:r w:rsidR="001E66FF">
        <w:rPr>
          <w:lang w:eastAsia="zh-CN"/>
        </w:rPr>
        <w:t xml:space="preserve"> a</w:t>
      </w:r>
      <w:r w:rsidR="005764A4">
        <w:rPr>
          <w:lang w:eastAsia="zh-CN"/>
        </w:rPr>
        <w:t xml:space="preserve"> 55 percent </w:t>
      </w:r>
      <w:r w:rsidR="004B0B81">
        <w:rPr>
          <w:lang w:eastAsia="zh-CN"/>
        </w:rPr>
        <w:t xml:space="preserve">debt ratio </w:t>
      </w:r>
      <w:r>
        <w:rPr>
          <w:lang w:eastAsia="zh-CN"/>
        </w:rPr>
        <w:t xml:space="preserve">to </w:t>
      </w:r>
      <w:r w:rsidR="00131F6D">
        <w:rPr>
          <w:lang w:eastAsia="zh-CN"/>
        </w:rPr>
        <w:t>1.</w:t>
      </w:r>
      <w:r w:rsidR="007B23BC">
        <w:rPr>
          <w:lang w:eastAsia="zh-CN"/>
        </w:rPr>
        <w:t>59</w:t>
      </w:r>
      <w:r w:rsidR="00F819FD">
        <w:rPr>
          <w:lang w:eastAsia="zh-CN"/>
        </w:rPr>
        <w:t xml:space="preserve"> at </w:t>
      </w:r>
      <w:r w:rsidR="001E66FF">
        <w:rPr>
          <w:lang w:eastAsia="zh-CN"/>
        </w:rPr>
        <w:t xml:space="preserve">a </w:t>
      </w:r>
      <w:r w:rsidR="00F819FD">
        <w:rPr>
          <w:lang w:eastAsia="zh-CN"/>
        </w:rPr>
        <w:t>40 percent</w:t>
      </w:r>
      <w:r w:rsidR="004B0B81">
        <w:rPr>
          <w:lang w:eastAsia="zh-CN"/>
        </w:rPr>
        <w:t xml:space="preserve"> debt ratio</w:t>
      </w:r>
      <w:r w:rsidR="00F819FD">
        <w:rPr>
          <w:lang w:eastAsia="zh-CN"/>
        </w:rPr>
        <w:t>.</w:t>
      </w:r>
    </w:p>
    <w:p w14:paraId="4F1D4E46" w14:textId="00EADE14" w:rsidR="006C39F0" w:rsidRDefault="00B960F2" w:rsidP="001411AA">
      <w:pPr>
        <w:pStyle w:val="rptmainbodybullets1"/>
        <w:rPr>
          <w:lang w:eastAsia="zh-CN"/>
        </w:rPr>
      </w:pPr>
      <w:r>
        <w:rPr>
          <w:lang w:eastAsia="zh-CN"/>
        </w:rPr>
        <w:t xml:space="preserve">The COE </w:t>
      </w:r>
      <w:r w:rsidR="008A2591">
        <w:rPr>
          <w:lang w:eastAsia="zh-CN"/>
        </w:rPr>
        <w:t>in the No MOPR case</w:t>
      </w:r>
      <w:r>
        <w:rPr>
          <w:lang w:eastAsia="zh-CN"/>
        </w:rPr>
        <w:t xml:space="preserve"> also declines to </w:t>
      </w:r>
      <w:r w:rsidR="005F6F68">
        <w:rPr>
          <w:lang w:eastAsia="zh-CN"/>
        </w:rPr>
        <w:t>1</w:t>
      </w:r>
      <w:r w:rsidR="00F5794D">
        <w:rPr>
          <w:lang w:eastAsia="zh-CN"/>
        </w:rPr>
        <w:t>5</w:t>
      </w:r>
      <w:r w:rsidR="005F6F68">
        <w:rPr>
          <w:lang w:eastAsia="zh-CN"/>
        </w:rPr>
        <w:t>.</w:t>
      </w:r>
      <w:r w:rsidR="00F5794D">
        <w:rPr>
          <w:lang w:eastAsia="zh-CN"/>
        </w:rPr>
        <w:t>03</w:t>
      </w:r>
      <w:r w:rsidR="005F6F68">
        <w:rPr>
          <w:lang w:eastAsia="zh-CN"/>
        </w:rPr>
        <w:t xml:space="preserve"> percent</w:t>
      </w:r>
      <w:r w:rsidR="00F819FD">
        <w:rPr>
          <w:lang w:eastAsia="zh-CN"/>
        </w:rPr>
        <w:t>.  This is because the volatility of returns to equity holders is lower at</w:t>
      </w:r>
      <w:r w:rsidR="00BF105B">
        <w:rPr>
          <w:lang w:eastAsia="zh-CN"/>
        </w:rPr>
        <w:t xml:space="preserve"> </w:t>
      </w:r>
      <w:r w:rsidR="008E384D">
        <w:rPr>
          <w:lang w:eastAsia="zh-CN"/>
        </w:rPr>
        <w:t xml:space="preserve">a </w:t>
      </w:r>
      <w:r w:rsidR="00BF105B">
        <w:rPr>
          <w:lang w:eastAsia="zh-CN"/>
        </w:rPr>
        <w:t xml:space="preserve">40 percent </w:t>
      </w:r>
      <w:r w:rsidR="00783760">
        <w:rPr>
          <w:lang w:eastAsia="zh-CN"/>
        </w:rPr>
        <w:t xml:space="preserve">debt ratio </w:t>
      </w:r>
      <w:r w:rsidR="00BF105B">
        <w:rPr>
          <w:lang w:eastAsia="zh-CN"/>
        </w:rPr>
        <w:t xml:space="preserve">relative to the volatility at </w:t>
      </w:r>
      <w:r w:rsidR="00783760">
        <w:rPr>
          <w:lang w:eastAsia="zh-CN"/>
        </w:rPr>
        <w:t xml:space="preserve">a </w:t>
      </w:r>
      <w:r w:rsidR="00BF105B">
        <w:rPr>
          <w:lang w:eastAsia="zh-CN"/>
        </w:rPr>
        <w:t>55 percent</w:t>
      </w:r>
      <w:r w:rsidR="00783760">
        <w:rPr>
          <w:lang w:eastAsia="zh-CN"/>
        </w:rPr>
        <w:t xml:space="preserve"> debt ratio</w:t>
      </w:r>
      <w:r w:rsidR="00BF105B">
        <w:rPr>
          <w:lang w:eastAsia="zh-CN"/>
        </w:rPr>
        <w:t>.</w:t>
      </w:r>
      <w:r w:rsidR="00BF105B">
        <w:rPr>
          <w:rStyle w:val="FootnoteReference"/>
          <w:lang w:eastAsia="zh-CN"/>
        </w:rPr>
        <w:footnoteReference w:id="45"/>
      </w:r>
    </w:p>
    <w:p w14:paraId="218BF45B" w14:textId="448FFBBC" w:rsidR="00DC4612" w:rsidRDefault="007B333E" w:rsidP="002814A8">
      <w:pPr>
        <w:pStyle w:val="rptmainbodytext"/>
        <w:rPr>
          <w:lang w:eastAsia="zh-CN"/>
        </w:rPr>
      </w:pPr>
      <w:r>
        <w:rPr>
          <w:lang w:eastAsia="zh-CN"/>
        </w:rPr>
        <w:t xml:space="preserve">Overall, we estimate the ATWACC </w:t>
      </w:r>
      <w:r w:rsidR="005F0F59">
        <w:rPr>
          <w:lang w:eastAsia="zh-CN"/>
        </w:rPr>
        <w:t xml:space="preserve">in the No MOPR case to be </w:t>
      </w:r>
      <w:r w:rsidR="00226F97">
        <w:rPr>
          <w:lang w:eastAsia="zh-CN"/>
        </w:rPr>
        <w:t>10.5</w:t>
      </w:r>
      <w:r w:rsidR="00171128">
        <w:rPr>
          <w:lang w:eastAsia="zh-CN"/>
        </w:rPr>
        <w:t>1</w:t>
      </w:r>
      <w:r w:rsidR="005F0F59">
        <w:rPr>
          <w:lang w:eastAsia="zh-CN"/>
        </w:rPr>
        <w:t xml:space="preserve"> percent</w:t>
      </w:r>
      <w:r>
        <w:rPr>
          <w:lang w:eastAsia="zh-CN"/>
        </w:rPr>
        <w:t xml:space="preserve">.  </w:t>
      </w:r>
      <w:r w:rsidR="00621B73">
        <w:rPr>
          <w:lang w:eastAsia="zh-CN"/>
        </w:rPr>
        <w:t>This e</w:t>
      </w:r>
      <w:r w:rsidR="00992DBB">
        <w:rPr>
          <w:lang w:eastAsia="zh-CN"/>
        </w:rPr>
        <w:t>stimate considers</w:t>
      </w:r>
      <w:r w:rsidR="00D55288">
        <w:rPr>
          <w:lang w:eastAsia="zh-CN"/>
        </w:rPr>
        <w:t xml:space="preserve"> </w:t>
      </w:r>
      <w:r w:rsidR="00992DBB">
        <w:rPr>
          <w:lang w:eastAsia="zh-CN"/>
        </w:rPr>
        <w:t xml:space="preserve">the effects of a </w:t>
      </w:r>
      <w:r w:rsidR="00B755D1">
        <w:rPr>
          <w:lang w:eastAsia="zh-CN"/>
        </w:rPr>
        <w:t xml:space="preserve">lower (40 percent) debt ratio, including </w:t>
      </w:r>
      <w:r w:rsidR="00D55288">
        <w:rPr>
          <w:lang w:eastAsia="zh-CN"/>
        </w:rPr>
        <w:t xml:space="preserve">the </w:t>
      </w:r>
      <w:r w:rsidR="00B755D1">
        <w:rPr>
          <w:lang w:eastAsia="zh-CN"/>
        </w:rPr>
        <w:t xml:space="preserve">resulting decrease </w:t>
      </w:r>
      <w:r w:rsidR="00D55288">
        <w:rPr>
          <w:lang w:eastAsia="zh-CN"/>
        </w:rPr>
        <w:t>in</w:t>
      </w:r>
      <w:r w:rsidR="00B755D1">
        <w:rPr>
          <w:lang w:eastAsia="zh-CN"/>
        </w:rPr>
        <w:t xml:space="preserve"> the</w:t>
      </w:r>
      <w:r w:rsidR="00D55288">
        <w:rPr>
          <w:lang w:eastAsia="zh-CN"/>
        </w:rPr>
        <w:t xml:space="preserve"> COE and COD (which reduce the ATWACC) and </w:t>
      </w:r>
      <w:r w:rsidR="00B755D1">
        <w:rPr>
          <w:lang w:eastAsia="zh-CN"/>
        </w:rPr>
        <w:t>the</w:t>
      </w:r>
      <w:r w:rsidR="0081568E">
        <w:rPr>
          <w:lang w:eastAsia="zh-CN"/>
        </w:rPr>
        <w:t xml:space="preserve"> associated</w:t>
      </w:r>
      <w:r w:rsidR="002C25E8">
        <w:rPr>
          <w:lang w:eastAsia="zh-CN"/>
        </w:rPr>
        <w:t xml:space="preserve"> increase in the weight of</w:t>
      </w:r>
      <w:r w:rsidR="0081568E">
        <w:rPr>
          <w:lang w:eastAsia="zh-CN"/>
        </w:rPr>
        <w:t xml:space="preserve"> the</w:t>
      </w:r>
      <w:r w:rsidR="002C25E8">
        <w:rPr>
          <w:lang w:eastAsia="zh-CN"/>
        </w:rPr>
        <w:t xml:space="preserve"> COE (which increases the ATWACC).</w:t>
      </w:r>
      <w:r w:rsidR="0081568E">
        <w:rPr>
          <w:lang w:eastAsia="zh-CN"/>
        </w:rPr>
        <w:t xml:space="preserve"> </w:t>
      </w:r>
    </w:p>
    <w:p w14:paraId="3262002A" w14:textId="603DCE09" w:rsidR="002814A8" w:rsidRDefault="000927FC" w:rsidP="002814A8">
      <w:pPr>
        <w:pStyle w:val="rptmainbodytext"/>
        <w:rPr>
          <w:lang w:eastAsia="zh-CN"/>
        </w:rPr>
      </w:pPr>
      <w:r>
        <w:rPr>
          <w:lang w:eastAsia="zh-CN"/>
        </w:rPr>
        <w:t xml:space="preserve">The higher </w:t>
      </w:r>
      <w:r w:rsidR="006F4767">
        <w:rPr>
          <w:lang w:eastAsia="zh-CN"/>
        </w:rPr>
        <w:t xml:space="preserve">final </w:t>
      </w:r>
      <w:r>
        <w:rPr>
          <w:lang w:eastAsia="zh-CN"/>
        </w:rPr>
        <w:t>ATWACC</w:t>
      </w:r>
      <w:r w:rsidR="006F4767">
        <w:rPr>
          <w:lang w:eastAsia="zh-CN"/>
        </w:rPr>
        <w:t xml:space="preserve"> in the No MOPR case</w:t>
      </w:r>
      <w:r w:rsidR="00662330">
        <w:rPr>
          <w:lang w:eastAsia="zh-CN"/>
        </w:rPr>
        <w:t xml:space="preserve"> </w:t>
      </w:r>
      <w:r w:rsidR="006F4767">
        <w:rPr>
          <w:lang w:eastAsia="zh-CN"/>
        </w:rPr>
        <w:t xml:space="preserve">affects the </w:t>
      </w:r>
      <w:r w:rsidR="006330C2">
        <w:rPr>
          <w:lang w:eastAsia="zh-CN"/>
        </w:rPr>
        <w:t xml:space="preserve">capacity </w:t>
      </w:r>
      <w:r w:rsidR="006F4767">
        <w:rPr>
          <w:lang w:eastAsia="zh-CN"/>
        </w:rPr>
        <w:t>supply and demand curves</w:t>
      </w:r>
      <w:r w:rsidR="006330C2">
        <w:rPr>
          <w:lang w:eastAsia="zh-CN"/>
        </w:rPr>
        <w:t>, which affects the distribution of revenues to the reference unit</w:t>
      </w:r>
      <w:r w:rsidR="006F4767">
        <w:rPr>
          <w:lang w:eastAsia="zh-CN"/>
        </w:rPr>
        <w:t xml:space="preserve">.  </w:t>
      </w:r>
      <w:r w:rsidR="002814A8">
        <w:rPr>
          <w:lang w:eastAsia="zh-CN"/>
        </w:rPr>
        <w:t xml:space="preserve">The following figure shows the distribution of revenues </w:t>
      </w:r>
      <w:r w:rsidR="00FE7B68">
        <w:rPr>
          <w:lang w:eastAsia="zh-CN"/>
        </w:rPr>
        <w:t xml:space="preserve">to the reference unit for the following cases: (a) </w:t>
      </w:r>
      <w:r w:rsidR="00382072">
        <w:rPr>
          <w:lang w:eastAsia="zh-CN"/>
        </w:rPr>
        <w:t>MOPR case, (b) No MOPR case before WACC adjustment, and (c) No MOPR case after WACC adjustment</w:t>
      </w:r>
      <w:r w:rsidR="002814A8">
        <w:rPr>
          <w:lang w:eastAsia="zh-CN"/>
        </w:rPr>
        <w:t>.</w:t>
      </w:r>
      <w:r w:rsidR="008F10B5">
        <w:rPr>
          <w:lang w:eastAsia="zh-CN"/>
        </w:rPr>
        <w:t xml:space="preserve">  </w:t>
      </w:r>
      <w:r w:rsidR="008F10B5">
        <w:rPr>
          <w:lang w:eastAsia="zh-CN"/>
        </w:rPr>
        <w:lastRenderedPageBreak/>
        <w:t>The Figure also shows the risk metrics of interest (standard deviations and Rating Case revenues) for estimating the COE and COD.</w:t>
      </w:r>
    </w:p>
    <w:p w14:paraId="74AD2851" w14:textId="008BA3F9" w:rsidR="002814A8" w:rsidRDefault="00401666">
      <w:pPr>
        <w:pStyle w:val="rptmainbodyfiguretitle1"/>
        <w:rPr>
          <w:lang w:eastAsia="zh-CN"/>
        </w:rPr>
      </w:pPr>
      <w:bookmarkStart w:id="958" w:name="_Toc86727546"/>
      <w:r>
        <w:t xml:space="preserve">Figure </w:t>
      </w:r>
      <w:r>
        <w:fldChar w:fldCharType="begin"/>
      </w:r>
      <w:r>
        <w:instrText>SEQ Figure \* ARABIC</w:instrText>
      </w:r>
      <w:r>
        <w:fldChar w:fldCharType="separate"/>
      </w:r>
      <w:r>
        <w:rPr>
          <w:noProof/>
        </w:rPr>
        <w:t>17</w:t>
      </w:r>
      <w:r>
        <w:fldChar w:fldCharType="end"/>
      </w:r>
      <w:r w:rsidR="00D533EA">
        <w:t xml:space="preserve">: </w:t>
      </w:r>
      <w:r w:rsidR="00D533EA">
        <w:rPr>
          <w:lang w:eastAsia="zh-CN"/>
        </w:rPr>
        <w:t>Distribution of Revenues to Reference Unit</w:t>
      </w:r>
      <w:bookmarkEnd w:id="958"/>
    </w:p>
    <w:p w14:paraId="4F6D6254" w14:textId="3883682B" w:rsidR="002814A8" w:rsidRDefault="00382072" w:rsidP="008950B9">
      <w:pPr>
        <w:pStyle w:val="rptmainbodyfiguretitle2"/>
        <w:rPr>
          <w:lang w:eastAsia="zh-CN"/>
        </w:rPr>
      </w:pPr>
      <w:r>
        <w:rPr>
          <w:lang w:eastAsia="zh-CN"/>
        </w:rPr>
        <w:t xml:space="preserve">MOPR Case, and </w:t>
      </w:r>
      <w:r w:rsidR="006F087E">
        <w:rPr>
          <w:lang w:eastAsia="zh-CN"/>
        </w:rPr>
        <w:t xml:space="preserve">No MOPR case </w:t>
      </w:r>
      <w:r>
        <w:rPr>
          <w:lang w:eastAsia="zh-CN"/>
        </w:rPr>
        <w:t>before and after WACC Adjustment</w:t>
      </w:r>
      <w:r w:rsidR="008F10B5" w:rsidRPr="008F10B5">
        <w:rPr>
          <w:lang w:eastAsia="zh-CN"/>
        </w:rPr>
        <w:t xml:space="preserve"> </w:t>
      </w:r>
    </w:p>
    <w:p w14:paraId="47BBF89C" w14:textId="73E11583" w:rsidR="0096700F" w:rsidRDefault="0096700F" w:rsidP="001411AA">
      <w:pPr>
        <w:pStyle w:val="rptmainbodyfigure"/>
        <w:rPr>
          <w:lang w:eastAsia="zh-CN"/>
        </w:rPr>
      </w:pPr>
      <w:r w:rsidRPr="0096700F">
        <w:drawing>
          <wp:inline distT="0" distB="0" distL="0" distR="0" wp14:anchorId="472136AA" wp14:editId="1B3666C6">
            <wp:extent cx="5902597" cy="3684104"/>
            <wp:effectExtent l="0" t="0" r="3175" b="0"/>
            <wp:docPr id="466" name="Picture 46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rotWithShape="1">
                    <a:blip r:embed="rId50" cstate="print">
                      <a:extLst>
                        <a:ext uri="{28A0092B-C50C-407E-A947-70E740481C1C}">
                          <a14:useLocalDpi xmlns:a14="http://schemas.microsoft.com/office/drawing/2010/main" val="0"/>
                        </a:ext>
                      </a:extLst>
                    </a:blip>
                    <a:srcRect l="4326" t="14381" r="1443" b="4425"/>
                    <a:stretch/>
                  </pic:blipFill>
                  <pic:spPr bwMode="auto">
                    <a:xfrm>
                      <a:off x="0" y="0"/>
                      <a:ext cx="5909005" cy="3688104"/>
                    </a:xfrm>
                    <a:prstGeom prst="rect">
                      <a:avLst/>
                    </a:prstGeom>
                    <a:noFill/>
                    <a:ln>
                      <a:noFill/>
                    </a:ln>
                    <a:extLst>
                      <a:ext uri="{53640926-AAD7-44D8-BBD7-CCE9431645EC}">
                        <a14:shadowObscured xmlns:a14="http://schemas.microsoft.com/office/drawing/2010/main"/>
                      </a:ext>
                    </a:extLst>
                  </pic:spPr>
                </pic:pic>
              </a:graphicData>
            </a:graphic>
          </wp:inline>
        </w:drawing>
      </w:r>
    </w:p>
    <w:p w14:paraId="69221243" w14:textId="662007E7" w:rsidR="002C25E8" w:rsidRDefault="002468D6" w:rsidP="002814A8">
      <w:pPr>
        <w:pStyle w:val="rptmainbodytext"/>
        <w:rPr>
          <w:lang w:eastAsia="zh-CN"/>
        </w:rPr>
      </w:pPr>
      <w:r>
        <w:rPr>
          <w:lang w:eastAsia="zh-CN"/>
        </w:rPr>
        <w:t xml:space="preserve">As shown in the </w:t>
      </w:r>
      <w:r w:rsidR="002556A4">
        <w:rPr>
          <w:lang w:eastAsia="zh-CN"/>
        </w:rPr>
        <w:t xml:space="preserve">above figure, </w:t>
      </w:r>
      <w:r w:rsidR="009B59F4">
        <w:rPr>
          <w:lang w:eastAsia="zh-CN"/>
        </w:rPr>
        <w:t xml:space="preserve">the revenue in the No MOPR case </w:t>
      </w:r>
      <w:r w:rsidR="00543290">
        <w:rPr>
          <w:lang w:eastAsia="zh-CN"/>
        </w:rPr>
        <w:t xml:space="preserve">even </w:t>
      </w:r>
      <w:r w:rsidR="00CB6937">
        <w:rPr>
          <w:lang w:eastAsia="zh-CN"/>
        </w:rPr>
        <w:t xml:space="preserve">after </w:t>
      </w:r>
      <w:r w:rsidR="00543290">
        <w:rPr>
          <w:lang w:eastAsia="zh-CN"/>
        </w:rPr>
        <w:t xml:space="preserve">the WACC adjustment </w:t>
      </w:r>
      <w:r w:rsidR="009B59F4">
        <w:rPr>
          <w:lang w:eastAsia="zh-CN"/>
        </w:rPr>
        <w:t xml:space="preserve">is </w:t>
      </w:r>
      <w:r w:rsidR="003C1420">
        <w:rPr>
          <w:lang w:eastAsia="zh-CN"/>
        </w:rPr>
        <w:t>still more volatile (i.e., has a higher standard deviation) than in the MOPR case</w:t>
      </w:r>
      <w:r w:rsidR="00F453AC">
        <w:rPr>
          <w:lang w:eastAsia="zh-CN"/>
        </w:rPr>
        <w:t xml:space="preserve">, and there </w:t>
      </w:r>
      <w:r w:rsidR="00D40277">
        <w:rPr>
          <w:lang w:eastAsia="zh-CN"/>
        </w:rPr>
        <w:t>continues to be a higher downside risk to the merchant reference unit</w:t>
      </w:r>
      <w:r w:rsidR="00F453AC">
        <w:rPr>
          <w:lang w:eastAsia="zh-CN"/>
        </w:rPr>
        <w:t xml:space="preserve">.  </w:t>
      </w:r>
      <w:r w:rsidR="00D40277">
        <w:rPr>
          <w:lang w:eastAsia="zh-CN"/>
        </w:rPr>
        <w:t>Nonetheless</w:t>
      </w:r>
      <w:r w:rsidR="00F453AC">
        <w:rPr>
          <w:lang w:eastAsia="zh-CN"/>
        </w:rPr>
        <w:t xml:space="preserve">, </w:t>
      </w:r>
      <w:r w:rsidR="00D40277">
        <w:rPr>
          <w:lang w:eastAsia="zh-CN"/>
        </w:rPr>
        <w:t xml:space="preserve">the </w:t>
      </w:r>
      <w:r w:rsidR="006C3ABF">
        <w:rPr>
          <w:lang w:eastAsia="zh-CN"/>
        </w:rPr>
        <w:t xml:space="preserve">average revenue </w:t>
      </w:r>
      <w:r w:rsidR="007F6909">
        <w:rPr>
          <w:lang w:eastAsia="zh-CN"/>
        </w:rPr>
        <w:t xml:space="preserve">in the No MOPR case after WACC adjustment is </w:t>
      </w:r>
      <w:r w:rsidR="00814291">
        <w:rPr>
          <w:lang w:eastAsia="zh-CN"/>
        </w:rPr>
        <w:t>11</w:t>
      </w:r>
      <w:r w:rsidR="006C3ABF">
        <w:rPr>
          <w:lang w:eastAsia="zh-CN"/>
        </w:rPr>
        <w:t xml:space="preserve"> percent higher </w:t>
      </w:r>
      <w:r w:rsidR="007F6909">
        <w:rPr>
          <w:lang w:eastAsia="zh-CN"/>
        </w:rPr>
        <w:t xml:space="preserve">than </w:t>
      </w:r>
      <w:r w:rsidR="006C3ABF">
        <w:rPr>
          <w:lang w:eastAsia="zh-CN"/>
        </w:rPr>
        <w:t>in the MOPR case.</w:t>
      </w:r>
    </w:p>
    <w:p w14:paraId="3E874AE3" w14:textId="7867A117" w:rsidR="002B4602" w:rsidRDefault="002B4602" w:rsidP="001411AA">
      <w:pPr>
        <w:pStyle w:val="rptmainbodyheading3"/>
        <w:rPr>
          <w:lang w:eastAsia="zh-CN"/>
        </w:rPr>
      </w:pPr>
      <w:r>
        <w:rPr>
          <w:lang w:eastAsia="zh-CN"/>
        </w:rPr>
        <w:t xml:space="preserve">Estimating Net CONE </w:t>
      </w:r>
      <w:r w:rsidR="0079771A">
        <w:rPr>
          <w:lang w:eastAsia="zh-CN"/>
        </w:rPr>
        <w:t xml:space="preserve">and PPR </w:t>
      </w:r>
      <w:r>
        <w:rPr>
          <w:lang w:eastAsia="zh-CN"/>
        </w:rPr>
        <w:t>in the No MOPR Case</w:t>
      </w:r>
    </w:p>
    <w:p w14:paraId="49267C67" w14:textId="7568E39E" w:rsidR="006C39F0" w:rsidRDefault="006C39F0" w:rsidP="006C39F0">
      <w:pPr>
        <w:pStyle w:val="rptmainbodytext"/>
        <w:rPr>
          <w:lang w:eastAsia="zh-CN"/>
        </w:rPr>
      </w:pPr>
      <w:r>
        <w:rPr>
          <w:lang w:eastAsia="zh-CN"/>
        </w:rPr>
        <w:t xml:space="preserve">We </w:t>
      </w:r>
      <w:r w:rsidR="00B945F4">
        <w:rPr>
          <w:lang w:eastAsia="zh-CN"/>
        </w:rPr>
        <w:t xml:space="preserve">estimated the Net CONE in the No MOPR case by </w:t>
      </w:r>
      <w:r>
        <w:rPr>
          <w:lang w:eastAsia="zh-CN"/>
        </w:rPr>
        <w:t>incorporat</w:t>
      </w:r>
      <w:r w:rsidR="00B945F4">
        <w:rPr>
          <w:lang w:eastAsia="zh-CN"/>
        </w:rPr>
        <w:t>ing</w:t>
      </w:r>
      <w:r>
        <w:rPr>
          <w:lang w:eastAsia="zh-CN"/>
        </w:rPr>
        <w:t xml:space="preserve"> the</w:t>
      </w:r>
      <w:r w:rsidR="00B945F4">
        <w:rPr>
          <w:lang w:eastAsia="zh-CN"/>
        </w:rPr>
        <w:t xml:space="preserve"> above</w:t>
      </w:r>
      <w:r>
        <w:rPr>
          <w:lang w:eastAsia="zh-CN"/>
        </w:rPr>
        <w:t xml:space="preserve"> WACC parameters into the ISO’s discounted cash flow model</w:t>
      </w:r>
      <w:r w:rsidR="00AB072B">
        <w:rPr>
          <w:lang w:eastAsia="zh-CN"/>
        </w:rPr>
        <w:t>.  We</w:t>
      </w:r>
      <w:r>
        <w:rPr>
          <w:lang w:eastAsia="zh-CN"/>
        </w:rPr>
        <w:t xml:space="preserve"> determined that if MOPR is eliminated</w:t>
      </w:r>
      <w:r w:rsidR="00E37EA9">
        <w:rPr>
          <w:lang w:eastAsia="zh-CN"/>
        </w:rPr>
        <w:t>, the Net CONE</w:t>
      </w:r>
      <w:r w:rsidR="000328F7">
        <w:rPr>
          <w:lang w:eastAsia="zh-CN"/>
        </w:rPr>
        <w:t xml:space="preserve"> </w:t>
      </w:r>
      <w:r w:rsidR="00AB072B">
        <w:rPr>
          <w:lang w:eastAsia="zh-CN"/>
        </w:rPr>
        <w:t>needs be increased</w:t>
      </w:r>
      <w:r w:rsidR="000328F7">
        <w:rPr>
          <w:lang w:eastAsia="zh-CN"/>
        </w:rPr>
        <w:t xml:space="preserve"> to </w:t>
      </w:r>
      <w:r w:rsidR="000603A8">
        <w:rPr>
          <w:lang w:eastAsia="zh-CN"/>
        </w:rPr>
        <w:t>$</w:t>
      </w:r>
      <w:r w:rsidR="005D2D3D">
        <w:rPr>
          <w:lang w:eastAsia="zh-CN"/>
        </w:rPr>
        <w:t>8.66</w:t>
      </w:r>
      <w:r w:rsidR="000603A8">
        <w:rPr>
          <w:lang w:eastAsia="zh-CN"/>
        </w:rPr>
        <w:t>/kW-mo</w:t>
      </w:r>
      <w:r w:rsidR="001903E1">
        <w:rPr>
          <w:lang w:eastAsia="zh-CN"/>
        </w:rPr>
        <w:t xml:space="preserve"> in 2025$</w:t>
      </w:r>
      <w:r w:rsidR="00E21191">
        <w:rPr>
          <w:lang w:eastAsia="zh-CN"/>
        </w:rPr>
        <w:t xml:space="preserve"> which is 1</w:t>
      </w:r>
      <w:r w:rsidR="00E37EA9">
        <w:rPr>
          <w:lang w:eastAsia="zh-CN"/>
        </w:rPr>
        <w:t>6</w:t>
      </w:r>
      <w:r w:rsidR="00E21191">
        <w:rPr>
          <w:lang w:eastAsia="zh-CN"/>
        </w:rPr>
        <w:t xml:space="preserve"> percent higher than</w:t>
      </w:r>
      <w:r w:rsidR="000328F7">
        <w:rPr>
          <w:lang w:eastAsia="zh-CN"/>
        </w:rPr>
        <w:t xml:space="preserve"> the </w:t>
      </w:r>
      <w:r w:rsidR="001903E1">
        <w:rPr>
          <w:lang w:eastAsia="zh-CN"/>
        </w:rPr>
        <w:t xml:space="preserve">Net CONE of </w:t>
      </w:r>
      <w:r w:rsidR="00FE2D54">
        <w:rPr>
          <w:lang w:eastAsia="zh-CN"/>
        </w:rPr>
        <w:t>$7.47/kW-mo</w:t>
      </w:r>
      <w:r w:rsidR="00B47238">
        <w:rPr>
          <w:lang w:eastAsia="zh-CN"/>
        </w:rPr>
        <w:t xml:space="preserve"> under status quo</w:t>
      </w:r>
      <w:r w:rsidR="001903E1">
        <w:rPr>
          <w:lang w:eastAsia="zh-CN"/>
        </w:rPr>
        <w:t>.</w:t>
      </w:r>
    </w:p>
    <w:p w14:paraId="212DACFA" w14:textId="7EB5F4FD" w:rsidR="002B4602" w:rsidRDefault="00E522B4" w:rsidP="00BC1960">
      <w:pPr>
        <w:pStyle w:val="rptmainbodytext"/>
        <w:rPr>
          <w:lang w:eastAsia="zh-CN"/>
        </w:rPr>
      </w:pPr>
      <w:r>
        <w:rPr>
          <w:lang w:eastAsia="zh-CN"/>
        </w:rPr>
        <w:t>Updating</w:t>
      </w:r>
      <w:r w:rsidR="009B0956">
        <w:rPr>
          <w:lang w:eastAsia="zh-CN"/>
        </w:rPr>
        <w:t xml:space="preserve"> the WACC parameters </w:t>
      </w:r>
      <w:r>
        <w:rPr>
          <w:lang w:eastAsia="zh-CN"/>
        </w:rPr>
        <w:t xml:space="preserve">to calculate the Net CONE </w:t>
      </w:r>
      <w:r w:rsidR="00F44E5D">
        <w:rPr>
          <w:lang w:eastAsia="zh-CN"/>
        </w:rPr>
        <w:t xml:space="preserve">would </w:t>
      </w:r>
      <w:r w:rsidR="009B0956">
        <w:rPr>
          <w:lang w:eastAsia="zh-CN"/>
        </w:rPr>
        <w:t xml:space="preserve">also involve </w:t>
      </w:r>
      <w:r w:rsidR="00994D8C">
        <w:rPr>
          <w:lang w:eastAsia="zh-CN"/>
        </w:rPr>
        <w:t xml:space="preserve">developing a new estimate for the PPR.  </w:t>
      </w:r>
      <w:r w:rsidR="0003092F">
        <w:rPr>
          <w:lang w:eastAsia="zh-CN"/>
        </w:rPr>
        <w:t xml:space="preserve">This is because </w:t>
      </w:r>
      <w:r w:rsidR="00F44E5D">
        <w:rPr>
          <w:lang w:eastAsia="zh-CN"/>
        </w:rPr>
        <w:t>t</w:t>
      </w:r>
      <w:r w:rsidR="005811D5">
        <w:rPr>
          <w:lang w:eastAsia="zh-CN"/>
        </w:rPr>
        <w:t xml:space="preserve">he ISO </w:t>
      </w:r>
      <w:r w:rsidR="00E40782">
        <w:rPr>
          <w:lang w:eastAsia="zh-CN"/>
        </w:rPr>
        <w:t>set</w:t>
      </w:r>
      <w:r w:rsidR="00FC45C6">
        <w:rPr>
          <w:lang w:eastAsia="zh-CN"/>
        </w:rPr>
        <w:t>s</w:t>
      </w:r>
      <w:r w:rsidR="005811D5">
        <w:rPr>
          <w:lang w:eastAsia="zh-CN"/>
        </w:rPr>
        <w:t xml:space="preserve"> the PPR </w:t>
      </w:r>
      <w:r w:rsidR="00E40782">
        <w:rPr>
          <w:lang w:eastAsia="zh-CN"/>
        </w:rPr>
        <w:t xml:space="preserve">such that </w:t>
      </w:r>
      <w:r w:rsidR="00086701">
        <w:rPr>
          <w:lang w:eastAsia="zh-CN"/>
        </w:rPr>
        <w:t>if the reference unit</w:t>
      </w:r>
      <w:r w:rsidR="008E2223">
        <w:rPr>
          <w:lang w:eastAsia="zh-CN"/>
        </w:rPr>
        <w:t xml:space="preserve">’s </w:t>
      </w:r>
      <w:r w:rsidR="00086701">
        <w:rPr>
          <w:lang w:eastAsia="zh-CN"/>
        </w:rPr>
        <w:t xml:space="preserve">performance is zero during shortage hours, its </w:t>
      </w:r>
      <w:r w:rsidR="008E2223">
        <w:rPr>
          <w:lang w:eastAsia="zh-CN"/>
        </w:rPr>
        <w:t xml:space="preserve">PFP penalties would </w:t>
      </w:r>
      <w:r w:rsidR="00086701">
        <w:rPr>
          <w:lang w:eastAsia="zh-CN"/>
        </w:rPr>
        <w:t xml:space="preserve">fully </w:t>
      </w:r>
      <w:r w:rsidR="008E2223">
        <w:rPr>
          <w:lang w:eastAsia="zh-CN"/>
        </w:rPr>
        <w:t xml:space="preserve">offset its capacity </w:t>
      </w:r>
      <w:r w:rsidR="008E2223">
        <w:rPr>
          <w:lang w:eastAsia="zh-CN"/>
        </w:rPr>
        <w:lastRenderedPageBreak/>
        <w:t>revenues</w:t>
      </w:r>
      <w:r w:rsidR="00086701">
        <w:rPr>
          <w:lang w:eastAsia="zh-CN"/>
        </w:rPr>
        <w:t>.</w:t>
      </w:r>
      <w:r w:rsidR="000F649A">
        <w:rPr>
          <w:rStyle w:val="FootnoteReference"/>
          <w:lang w:eastAsia="zh-CN"/>
        </w:rPr>
        <w:footnoteReference w:id="46"/>
      </w:r>
      <w:r w:rsidR="006640AE">
        <w:rPr>
          <w:lang w:eastAsia="zh-CN"/>
        </w:rPr>
        <w:t xml:space="preserve">  </w:t>
      </w:r>
      <w:r w:rsidR="00F44E5D">
        <w:rPr>
          <w:lang w:eastAsia="zh-CN"/>
        </w:rPr>
        <w:t xml:space="preserve">Hence, the PPR is a function of the Net CONE and should </w:t>
      </w:r>
      <w:r w:rsidR="00C437D4">
        <w:rPr>
          <w:lang w:eastAsia="zh-CN"/>
        </w:rPr>
        <w:t>increase as the Net CONE increases</w:t>
      </w:r>
      <w:r w:rsidR="00F44E5D">
        <w:rPr>
          <w:lang w:eastAsia="zh-CN"/>
        </w:rPr>
        <w:t xml:space="preserve">.  </w:t>
      </w:r>
      <w:r w:rsidR="008C0105">
        <w:rPr>
          <w:lang w:eastAsia="zh-CN"/>
        </w:rPr>
        <w:t>Accordingly</w:t>
      </w:r>
      <w:r w:rsidR="0042674C">
        <w:rPr>
          <w:lang w:eastAsia="zh-CN"/>
        </w:rPr>
        <w:t xml:space="preserve">, </w:t>
      </w:r>
      <w:r w:rsidR="008C0105">
        <w:rPr>
          <w:lang w:eastAsia="zh-CN"/>
        </w:rPr>
        <w:t xml:space="preserve">we </w:t>
      </w:r>
      <w:r w:rsidR="0042674C">
        <w:rPr>
          <w:lang w:eastAsia="zh-CN"/>
        </w:rPr>
        <w:t xml:space="preserve">updated </w:t>
      </w:r>
      <w:r w:rsidR="008C0105">
        <w:rPr>
          <w:lang w:eastAsia="zh-CN"/>
        </w:rPr>
        <w:t xml:space="preserve">the </w:t>
      </w:r>
      <w:r w:rsidR="0042674C">
        <w:rPr>
          <w:lang w:eastAsia="zh-CN"/>
        </w:rPr>
        <w:t xml:space="preserve">PPR </w:t>
      </w:r>
      <w:r w:rsidR="006640AE">
        <w:rPr>
          <w:lang w:eastAsia="zh-CN"/>
        </w:rPr>
        <w:t>to</w:t>
      </w:r>
      <w:r w:rsidR="0042674C">
        <w:rPr>
          <w:lang w:eastAsia="zh-CN"/>
        </w:rPr>
        <w:t xml:space="preserve"> </w:t>
      </w:r>
      <w:r w:rsidR="0039120A">
        <w:rPr>
          <w:lang w:eastAsia="zh-CN"/>
        </w:rPr>
        <w:t>$10,84</w:t>
      </w:r>
      <w:r w:rsidR="00225982">
        <w:rPr>
          <w:lang w:eastAsia="zh-CN"/>
        </w:rPr>
        <w:t>6</w:t>
      </w:r>
      <w:r w:rsidR="0039120A">
        <w:rPr>
          <w:lang w:eastAsia="zh-CN"/>
        </w:rPr>
        <w:t>/MWh</w:t>
      </w:r>
      <w:r w:rsidR="006640AE">
        <w:rPr>
          <w:lang w:eastAsia="zh-CN"/>
        </w:rPr>
        <w:t xml:space="preserve"> (</w:t>
      </w:r>
      <w:r w:rsidR="00E66377">
        <w:rPr>
          <w:lang w:eastAsia="zh-CN"/>
        </w:rPr>
        <w:t xml:space="preserve">compared to </w:t>
      </w:r>
      <w:r w:rsidR="0039120A">
        <w:rPr>
          <w:lang w:eastAsia="zh-CN"/>
        </w:rPr>
        <w:t>$9,337/MWh</w:t>
      </w:r>
      <w:r w:rsidR="00E66377">
        <w:rPr>
          <w:lang w:eastAsia="zh-CN"/>
        </w:rPr>
        <w:t xml:space="preserve"> under status quo</w:t>
      </w:r>
      <w:r w:rsidR="006640AE">
        <w:rPr>
          <w:lang w:eastAsia="zh-CN"/>
        </w:rPr>
        <w:t xml:space="preserve">) </w:t>
      </w:r>
      <w:r w:rsidR="00E66377">
        <w:rPr>
          <w:lang w:eastAsia="zh-CN"/>
        </w:rPr>
        <w:t>to reflect the higher Net CONE in the No MOPR case</w:t>
      </w:r>
      <w:r w:rsidR="0042674C">
        <w:rPr>
          <w:lang w:eastAsia="zh-CN"/>
        </w:rPr>
        <w:t>.</w:t>
      </w:r>
      <w:r w:rsidR="00C61D9F">
        <w:rPr>
          <w:rStyle w:val="FootnoteReference"/>
          <w:lang w:eastAsia="zh-CN"/>
        </w:rPr>
        <w:footnoteReference w:id="47"/>
      </w:r>
    </w:p>
    <w:p w14:paraId="11FAA915" w14:textId="5BF27584" w:rsidR="00457481" w:rsidRDefault="00457481" w:rsidP="00457481">
      <w:pPr>
        <w:pStyle w:val="rptmainbodyheading2"/>
        <w:rPr>
          <w:lang w:eastAsia="zh-CN"/>
        </w:rPr>
      </w:pPr>
      <w:bookmarkStart w:id="959" w:name="_Ref85456769"/>
      <w:bookmarkStart w:id="960" w:name="_Toc86419530"/>
      <w:r>
        <w:rPr>
          <w:lang w:eastAsia="zh-CN"/>
        </w:rPr>
        <w:t>Conclusions</w:t>
      </w:r>
      <w:bookmarkEnd w:id="959"/>
      <w:bookmarkEnd w:id="960"/>
    </w:p>
    <w:p w14:paraId="7F93372B" w14:textId="121D7F0B" w:rsidR="00457481" w:rsidRDefault="007B0C65" w:rsidP="00502B77">
      <w:pPr>
        <w:pStyle w:val="rptmainbodytext"/>
        <w:rPr>
          <w:lang w:eastAsia="zh-CN"/>
        </w:rPr>
      </w:pPr>
      <w:r>
        <w:rPr>
          <w:lang w:eastAsia="zh-CN"/>
        </w:rPr>
        <w:t>We developed a model that e</w:t>
      </w:r>
      <w:r w:rsidR="00502B77">
        <w:rPr>
          <w:lang w:eastAsia="zh-CN"/>
        </w:rPr>
        <w:t xml:space="preserve">valuated </w:t>
      </w:r>
      <w:r>
        <w:rPr>
          <w:lang w:eastAsia="zh-CN"/>
        </w:rPr>
        <w:t xml:space="preserve">the </w:t>
      </w:r>
      <w:r w:rsidR="00D24BA7">
        <w:rPr>
          <w:lang w:eastAsia="zh-CN"/>
        </w:rPr>
        <w:t>impa</w:t>
      </w:r>
      <w:r w:rsidR="00963819">
        <w:rPr>
          <w:lang w:eastAsia="zh-CN"/>
        </w:rPr>
        <w:t>c</w:t>
      </w:r>
      <w:r w:rsidR="00D24BA7">
        <w:rPr>
          <w:lang w:eastAsia="zh-CN"/>
        </w:rPr>
        <w:t xml:space="preserve">t </w:t>
      </w:r>
      <w:r>
        <w:rPr>
          <w:lang w:eastAsia="zh-CN"/>
        </w:rPr>
        <w:t>of eliminating MOPR on the financial risk to investors</w:t>
      </w:r>
      <w:r w:rsidR="00D24BA7">
        <w:rPr>
          <w:lang w:eastAsia="zh-CN"/>
        </w:rPr>
        <w:t>.  We find</w:t>
      </w:r>
      <w:r w:rsidR="00502B77">
        <w:rPr>
          <w:lang w:eastAsia="zh-CN"/>
        </w:rPr>
        <w:t xml:space="preserve"> that:</w:t>
      </w:r>
    </w:p>
    <w:p w14:paraId="109F7C53" w14:textId="1EF1597B" w:rsidR="007B0C65" w:rsidRDefault="001617D1" w:rsidP="00145D10">
      <w:pPr>
        <w:pStyle w:val="rptmainbodybullets1"/>
        <w:rPr>
          <w:lang w:eastAsia="zh-CN"/>
        </w:rPr>
      </w:pPr>
      <w:r>
        <w:rPr>
          <w:lang w:eastAsia="zh-CN"/>
        </w:rPr>
        <w:t>There is a considerable difference in the volatility of revenues to the reference unit with and without MOPR</w:t>
      </w:r>
      <w:r w:rsidR="0016017F">
        <w:rPr>
          <w:lang w:eastAsia="zh-CN"/>
        </w:rPr>
        <w:t>.</w:t>
      </w:r>
    </w:p>
    <w:p w14:paraId="153CCAB7" w14:textId="77D45513" w:rsidR="006D6990" w:rsidRDefault="00477BD2" w:rsidP="00145D10">
      <w:pPr>
        <w:pStyle w:val="rptmainbodybullets1"/>
        <w:rPr>
          <w:lang w:eastAsia="zh-CN"/>
        </w:rPr>
      </w:pPr>
      <w:r>
        <w:rPr>
          <w:lang w:eastAsia="zh-CN"/>
        </w:rPr>
        <w:t>T</w:t>
      </w:r>
      <w:r w:rsidR="00753211">
        <w:rPr>
          <w:lang w:eastAsia="zh-CN"/>
        </w:rPr>
        <w:t xml:space="preserve">he </w:t>
      </w:r>
      <w:r w:rsidR="00132CA6">
        <w:rPr>
          <w:lang w:eastAsia="zh-CN"/>
        </w:rPr>
        <w:t>ATWACC</w:t>
      </w:r>
      <w:r w:rsidR="00753211">
        <w:rPr>
          <w:lang w:eastAsia="zh-CN"/>
        </w:rPr>
        <w:t xml:space="preserve"> without MOPR</w:t>
      </w:r>
      <w:r w:rsidR="0011139E">
        <w:rPr>
          <w:lang w:eastAsia="zh-CN"/>
        </w:rPr>
        <w:t xml:space="preserve"> should be increased to </w:t>
      </w:r>
      <w:r w:rsidR="006266EA">
        <w:rPr>
          <w:lang w:eastAsia="zh-CN"/>
        </w:rPr>
        <w:t>10.</w:t>
      </w:r>
      <w:r w:rsidR="00E62ED4">
        <w:rPr>
          <w:lang w:eastAsia="zh-CN"/>
        </w:rPr>
        <w:t xml:space="preserve">51 </w:t>
      </w:r>
      <w:r w:rsidR="006266EA">
        <w:rPr>
          <w:lang w:eastAsia="zh-CN"/>
        </w:rPr>
        <w:t>percent (from 8.26 percent under status quo) to</w:t>
      </w:r>
      <w:r w:rsidR="0011139E">
        <w:rPr>
          <w:lang w:eastAsia="zh-CN"/>
        </w:rPr>
        <w:t xml:space="preserve"> </w:t>
      </w:r>
      <w:r w:rsidR="00132CA6">
        <w:rPr>
          <w:lang w:eastAsia="zh-CN"/>
        </w:rPr>
        <w:t>compensate investors for the higher risk in the No MOPR case</w:t>
      </w:r>
      <w:r w:rsidR="0016017F">
        <w:rPr>
          <w:lang w:eastAsia="zh-CN"/>
        </w:rPr>
        <w:t>.</w:t>
      </w:r>
    </w:p>
    <w:p w14:paraId="7D590D6B" w14:textId="5D0345CF" w:rsidR="00B54F80" w:rsidRDefault="008F0CC9">
      <w:pPr>
        <w:pStyle w:val="rptmainbodybullets1"/>
      </w:pPr>
      <w:r>
        <w:t xml:space="preserve">This increase in ATWACC </w:t>
      </w:r>
      <w:r w:rsidR="00260F8C">
        <w:t xml:space="preserve">translates into </w:t>
      </w:r>
      <w:r w:rsidR="009742B9">
        <w:t>a</w:t>
      </w:r>
      <w:r>
        <w:t xml:space="preserve"> Net CONE of </w:t>
      </w:r>
      <w:r w:rsidR="008F5B72">
        <w:t>$</w:t>
      </w:r>
      <w:r w:rsidR="000603A8">
        <w:t>8</w:t>
      </w:r>
      <w:r w:rsidR="008F5B72">
        <w:t>.66/kW-</w:t>
      </w:r>
      <w:r w:rsidR="000603A8">
        <w:t>month</w:t>
      </w:r>
      <w:r w:rsidR="00066635">
        <w:t xml:space="preserve"> (or </w:t>
      </w:r>
      <w:r w:rsidR="008F5B72">
        <w:t xml:space="preserve">16 </w:t>
      </w:r>
      <w:r w:rsidR="00066635">
        <w:t>percent higher than the current value of $</w:t>
      </w:r>
      <w:r w:rsidR="00145D10">
        <w:t>7.47/kW-month</w:t>
      </w:r>
      <w:r w:rsidR="00241A67">
        <w:t xml:space="preserve"> in 2025$</w:t>
      </w:r>
      <w:r w:rsidR="00066635">
        <w:t>)</w:t>
      </w:r>
      <w:r w:rsidR="00D17F09">
        <w:t>.</w:t>
      </w:r>
      <w:r w:rsidR="00D9140A">
        <w:t xml:space="preserve">  In addition, </w:t>
      </w:r>
      <w:r w:rsidR="009742B9">
        <w:t xml:space="preserve">the PPR should be increased to </w:t>
      </w:r>
      <w:r w:rsidR="00E62ED4">
        <w:t>$10,846/MWh</w:t>
      </w:r>
      <w:r w:rsidR="009742B9">
        <w:t xml:space="preserve"> from </w:t>
      </w:r>
      <w:r w:rsidR="00E62ED4">
        <w:t>$9,337/MWh</w:t>
      </w:r>
      <w:r w:rsidR="009742B9">
        <w:t>, to reflect the higher Net CONE of the reference unit.</w:t>
      </w:r>
    </w:p>
    <w:p w14:paraId="7C00BAF5" w14:textId="77777777" w:rsidR="00B234ED" w:rsidRPr="00B234ED" w:rsidRDefault="00B234ED">
      <w:pPr>
        <w:pStyle w:val="rptmainbodytext"/>
        <w:rPr>
          <w:lang w:eastAsia="zh-CN"/>
        </w:rPr>
      </w:pPr>
      <w:bookmarkStart w:id="961" w:name="_Toc74722605"/>
      <w:bookmarkStart w:id="962" w:name="_Toc74722764"/>
      <w:bookmarkStart w:id="963" w:name="_Toc74727168"/>
      <w:bookmarkStart w:id="964" w:name="_Toc85845732"/>
      <w:bookmarkStart w:id="965" w:name="_Toc86051055"/>
      <w:bookmarkStart w:id="966" w:name="_Toc85845733"/>
      <w:bookmarkStart w:id="967" w:name="_Toc86051056"/>
      <w:bookmarkStart w:id="968" w:name="_Toc85845734"/>
      <w:bookmarkStart w:id="969" w:name="_Toc86051057"/>
      <w:bookmarkStart w:id="970" w:name="_Toc85845735"/>
      <w:bookmarkStart w:id="971" w:name="_Toc86051058"/>
      <w:bookmarkEnd w:id="961"/>
      <w:bookmarkEnd w:id="962"/>
      <w:bookmarkEnd w:id="963"/>
      <w:bookmarkEnd w:id="964"/>
      <w:bookmarkEnd w:id="965"/>
      <w:bookmarkEnd w:id="966"/>
      <w:bookmarkEnd w:id="967"/>
      <w:bookmarkEnd w:id="968"/>
      <w:bookmarkEnd w:id="969"/>
      <w:bookmarkEnd w:id="970"/>
      <w:bookmarkEnd w:id="971"/>
    </w:p>
    <w:sectPr w:rsidR="00B234ED" w:rsidRPr="00B234ED" w:rsidSect="001411AA">
      <w:headerReference w:type="even" r:id="rId51"/>
      <w:headerReference w:type="default" r:id="rId52"/>
      <w:type w:val="oddPage"/>
      <w:pgSz w:w="12240" w:h="15840" w:code="1"/>
      <w:pgMar w:top="1440" w:right="1440" w:bottom="1440" w:left="1440" w:header="720" w:footer="720" w:gutter="0"/>
      <w:cols w:space="72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5C95FB48" w14:textId="77777777" w:rsidR="00B32DE0" w:rsidRDefault="00B32DE0" w:rsidP="006103BB">
      <w:pPr>
        <w:spacing w:after="0"/>
      </w:pPr>
      <w:r>
        <w:separator/>
      </w:r>
    </w:p>
    <w:p w14:paraId="00D5D805" w14:textId="77777777" w:rsidR="00B32DE0" w:rsidRDefault="00B32DE0"/>
    <w:p w14:paraId="26CCE9A5" w14:textId="77777777" w:rsidR="00B32DE0" w:rsidRDefault="00B32DE0"/>
    <w:p w14:paraId="1E2C30C4" w14:textId="77777777" w:rsidR="00B32DE0" w:rsidRDefault="00B32DE0"/>
    <w:p w14:paraId="20579BAB" w14:textId="77777777" w:rsidR="00B32DE0" w:rsidRDefault="00B32DE0"/>
  </w:endnote>
  <w:endnote w:type="continuationSeparator" w:id="0">
    <w:p w14:paraId="64919006" w14:textId="77777777" w:rsidR="00B32DE0" w:rsidRDefault="00B32DE0" w:rsidP="006103BB">
      <w:pPr>
        <w:spacing w:after="0"/>
      </w:pPr>
      <w:r>
        <w:continuationSeparator/>
      </w:r>
    </w:p>
    <w:p w14:paraId="3F4F34A9" w14:textId="77777777" w:rsidR="00B32DE0" w:rsidRDefault="00B32DE0"/>
    <w:p w14:paraId="5CA4023F" w14:textId="77777777" w:rsidR="00B32DE0" w:rsidRDefault="00B32DE0"/>
    <w:p w14:paraId="1AF71656" w14:textId="77777777" w:rsidR="00B32DE0" w:rsidRDefault="00B32DE0"/>
    <w:p w14:paraId="1420A6DB" w14:textId="77777777" w:rsidR="00B32DE0" w:rsidRDefault="00B32DE0"/>
  </w:endnote>
  <w:endnote w:type="continuationNotice" w:id="1">
    <w:p w14:paraId="7D0D42E1" w14:textId="77777777" w:rsidR="00B32DE0" w:rsidRDefault="00B32DE0">
      <w:pPr>
        <w:spacing w:after="0"/>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43"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02FF" w:usb1="4000ACFF" w:usb2="00000001" w:usb3="00000000" w:csb0="0000019F" w:csb1="00000000"/>
  </w:font>
  <w:font w:name="Arial">
    <w:panose1 w:val="020B0604020202020204"/>
    <w:charset w:val="00"/>
    <w:family w:val="swiss"/>
    <w:pitch w:val="variable"/>
    <w:sig w:usb0="E0002AFF" w:usb1="C0007843" w:usb2="00000009" w:usb3="00000000" w:csb0="000001FF" w:csb1="00000000"/>
  </w:font>
  <w:font w:name="Cambria">
    <w:panose1 w:val="02040503050406030204"/>
    <w:charset w:val="00"/>
    <w:family w:val="roman"/>
    <w:pitch w:val="variable"/>
    <w:sig w:usb0="E00002FF" w:usb1="400004FF" w:usb2="00000000" w:usb3="00000000" w:csb0="0000019F" w:csb1="00000000"/>
  </w:font>
  <w:font w:name="SimSun">
    <w:altName w:val="宋体"/>
    <w:panose1 w:val="02010600030101010101"/>
    <w:charset w:val="86"/>
    <w:family w:val="auto"/>
    <w:pitch w:val="variable"/>
    <w:sig w:usb0="00000003" w:usb1="288F0000" w:usb2="00000016" w:usb3="00000000" w:csb0="00040001" w:csb1="00000000"/>
  </w:font>
  <w:font w:name="MS Mincho">
    <w:altName w:val="ＭＳ 明朝"/>
    <w:panose1 w:val="02020609040205080304"/>
    <w:charset w:val="80"/>
    <w:family w:val="modern"/>
    <w:pitch w:val="fixed"/>
    <w:sig w:usb0="E00002FF" w:usb1="6AC7FDFB" w:usb2="08000012" w:usb3="00000000" w:csb0="0002009F" w:csb1="00000000"/>
  </w:font>
  <w:font w:name="Tahoma">
    <w:panose1 w:val="020B0604030504040204"/>
    <w:charset w:val="00"/>
    <w:family w:val="swiss"/>
    <w:pitch w:val="variable"/>
    <w:sig w:usb0="E1002EFF" w:usb1="C000605B" w:usb2="00000029" w:usb3="00000000" w:csb0="000101FF" w:csb1="00000000"/>
  </w:font>
  <w:font w:name="Times New Roman Bold">
    <w:altName w:val="Times New Roman"/>
    <w:panose1 w:val="00000000000000000000"/>
    <w:charset w:val="00"/>
    <w:family w:val="roman"/>
    <w:notTrueType/>
    <w:pitch w:val="default"/>
  </w:font>
  <w:font w:name="Consolas">
    <w:panose1 w:val="020B0609020204030204"/>
    <w:charset w:val="00"/>
    <w:family w:val="modern"/>
    <w:pitch w:val="fixed"/>
    <w:sig w:usb0="E00006FF" w:usb1="0000FCFF" w:usb2="00000001" w:usb3="00000000" w:csb0="0000019F" w:csb1="00000000"/>
  </w:font>
  <w:font w:name="Cambria Math">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028DAB81" w14:textId="6D686858" w:rsidR="00F94977" w:rsidRDefault="00F94977" w:rsidP="003E0765">
    <w:pPr>
      <w:pStyle w:val="Footer"/>
      <w:numPr>
        <w:ilvl w:val="0"/>
        <w:numId w:val="0"/>
      </w:numPr>
      <w:tabs>
        <w:tab w:val="clear" w:pos="4680"/>
      </w:tabs>
      <w:spacing w:after="240"/>
    </w:pPr>
    <w:r w:rsidRPr="00152759">
      <w:rPr>
        <w:b/>
        <w:noProof/>
        <w:sz w:val="28"/>
      </w:rPr>
      <mc:AlternateContent>
        <mc:Choice Requires="wps">
          <w:drawing>
            <wp:anchor distT="4294967295" distB="4294967295" distL="114300" distR="114300" simplePos="0" relativeHeight="251658264" behindDoc="0" locked="0" layoutInCell="1" allowOverlap="1" wp14:anchorId="0FF936C7" wp14:editId="66B72BA3">
              <wp:simplePos x="0" y="0"/>
              <wp:positionH relativeFrom="margin">
                <wp:align>left</wp:align>
              </wp:positionH>
              <wp:positionV relativeFrom="paragraph">
                <wp:posOffset>-53975</wp:posOffset>
              </wp:positionV>
              <wp:extent cx="5924550" cy="0"/>
              <wp:effectExtent l="0" t="0" r="0" b="0"/>
              <wp:wrapNone/>
              <wp:docPr id="25" name="Line 15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5924550" cy="0"/>
                      </a:xfrm>
                      <a:prstGeom prst="line">
                        <a:avLst/>
                      </a:prstGeom>
                      <a:noFill/>
                      <a:ln w="12700">
                        <a:solidFill>
                          <a:schemeClr val="bg1">
                            <a:lumMod val="50000"/>
                          </a:schemeClr>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a="http://schemas.openxmlformats.org/drawingml/2006/main" xmlns:a14="http://schemas.microsoft.com/office/drawing/2010/main" xmlns:arto="http://schemas.microsoft.com/office/word/2006/arto"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w:pict w14:anchorId="2ADE4A2E">
            <v:line id="Line 150" style="position:absolute;flip:y;z-index:251658268;visibility:visible;mso-wrap-style:square;mso-width-percent:0;mso-height-percent:0;mso-wrap-distance-left:9pt;mso-wrap-distance-top:-3e-5mm;mso-wrap-distance-right:9pt;mso-wrap-distance-bottom:-3e-5mm;mso-position-horizontal:left;mso-position-horizontal-relative:margin;mso-position-vertical:absolute;mso-position-vertical-relative:text;mso-width-percent:0;mso-height-percent:0;mso-width-relative:page;mso-height-relative:page" o:spid="_x0000_s1026" strokecolor="#7f7f7f [1612]" strokeweight="1pt" from="0,-4.25pt" to="466.5pt,-4.25pt" w14:anchorId="161B86F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">
              <w10:wrap anchorx="margin"/>
            </v:line>
          </w:pict>
        </mc:Fallback>
      </mc:AlternateContent>
    </w:r>
    <w:r w:rsidRPr="00152759">
      <w:rPr>
        <w:noProof/>
        <w:sz w:val="28"/>
      </w:rPr>
      <mc:AlternateContent>
        <mc:Choice Requires="wps">
          <w:drawing>
            <wp:anchor distT="0" distB="0" distL="114300" distR="114300" simplePos="0" relativeHeight="251658267" behindDoc="0" locked="0" layoutInCell="1" allowOverlap="1" wp14:anchorId="1C11F7AA" wp14:editId="7856FA5D">
              <wp:simplePos x="0" y="0"/>
              <wp:positionH relativeFrom="page">
                <wp:posOffset>0</wp:posOffset>
              </wp:positionH>
              <wp:positionV relativeFrom="page">
                <wp:posOffset>9530536</wp:posOffset>
              </wp:positionV>
              <wp:extent cx="1370330" cy="132715"/>
              <wp:effectExtent l="0" t="0" r="1270" b="635"/>
              <wp:wrapNone/>
              <wp:docPr id="77" name="Rectangle 77"/>
              <wp:cNvGraphicFramePr/>
              <a:graphic xmlns:a="http://schemas.openxmlformats.org/drawingml/2006/main">
                <a:graphicData uri="http://schemas.microsoft.com/office/word/2010/wordprocessingShape">
                  <wps:wsp>
                    <wps:cNvSpPr/>
                    <wps:spPr>
                      <a:xfrm>
                        <a:off x="0" y="0"/>
                        <a:ext cx="1370330" cy="132715"/>
                      </a:xfrm>
                      <a:prstGeom prst="rect">
                        <a:avLst/>
                      </a:prstGeom>
                      <a:solidFill>
                        <a:schemeClr val="bg1">
                          <a:lumMod val="65000"/>
                        </a:schemeClr>
                      </a:solidFill>
                      <a:ln>
                        <a:noFill/>
                      </a:ln>
                      <a:effectLst/>
                    </wps:spPr>
                    <wps:style>
                      <a:lnRef idx="1">
                        <a:schemeClr val="accent1"/>
                      </a:lnRef>
                      <a:fillRef idx="3">
                        <a:schemeClr val="accent1"/>
                      </a:fillRef>
                      <a:effectRef idx="2">
                        <a:schemeClr val="accent1"/>
                      </a:effectRef>
                      <a:fontRef idx="minor">
                        <a:schemeClr val="lt1"/>
                      </a:fontRef>
                    </wps:style>
                    <wps:txbx>
                      <w:txbxContent>
                        <w:p w14:paraId="2C5D755B" w14:textId="77777777" w:rsidR="00F94977" w:rsidRDefault="00F94977" w:rsidP="00F94977">
                          <w:pPr>
                            <w:jc w:val="center"/>
                          </w:pPr>
                          <w:r>
                            <w:t>/</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w:pict>
            <v:rect w14:anchorId="1C11F7AA" id="Rectangle 77" o:spid="_x0000_s1029" style="position:absolute;margin-left:0;margin-top:750.45pt;width:107.9pt;height:10.45pt;z-index:251658267;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" fillcolor="#a5a5a5 [2092]" stroked="f">
              <v:textbox>
                <w:txbxContent>
                  <w:p w14:paraId="2C5D755B" w14:textId="77777777" w:rsidR="00F94977" w:rsidRDefault="00F94977" w:rsidP="00F94977">
                    <w:pPr>
                      <w:jc w:val="center"/>
                    </w:pPr>
                    <w:r>
                      <w:t>/</w:t>
                    </w:r>
                  </w:p>
                </w:txbxContent>
              </v:textbox>
              <w10:wrap anchorx="page" anchory="page"/>
            </v:rect>
          </w:pict>
        </mc:Fallback>
      </mc:AlternateContent>
    </w:r>
    <w:r w:rsidRPr="00152759">
      <w:rPr>
        <w:b/>
        <w:color w:val="7F7F7F" w:themeColor="text1" w:themeTint="80"/>
      </w:rPr>
      <w:fldChar w:fldCharType="begin"/>
    </w:r>
    <w:r w:rsidRPr="00152759">
      <w:rPr>
        <w:b/>
        <w:color w:val="7F7F7F" w:themeColor="text1" w:themeTint="80"/>
      </w:rPr>
      <w:instrText xml:space="preserve"> PAGE   \* MERGEFORMAT </w:instrText>
    </w:r>
    <w:r w:rsidRPr="00152759">
      <w:rPr>
        <w:b/>
        <w:color w:val="7F7F7F" w:themeColor="text1" w:themeTint="80"/>
      </w:rPr>
      <w:fldChar w:fldCharType="separate"/>
    </w:r>
    <w:r w:rsidR="00A7635D">
      <w:rPr>
        <w:b/>
        <w:noProof/>
        <w:color w:val="7F7F7F" w:themeColor="text1" w:themeTint="80"/>
      </w:rPr>
      <w:t>6</w:t>
    </w:r>
    <w:r w:rsidRPr="00152759">
      <w:rPr>
        <w:b/>
        <w:noProof/>
        <w:color w:val="7F7F7F" w:themeColor="text1" w:themeTint="80"/>
      </w:rPr>
      <w:fldChar w:fldCharType="end"/>
    </w:r>
    <w:r w:rsidRPr="00152759">
      <w:rPr>
        <w:b/>
        <w:noProof/>
        <w:color w:val="7F7F7F" w:themeColor="text1" w:themeTint="80"/>
      </w:rPr>
      <w:t xml:space="preserve"> </w:t>
    </w:r>
    <w:r w:rsidRPr="00152759">
      <w:rPr>
        <w:b/>
        <w:smallCaps/>
        <w:color w:val="7F7F7F" w:themeColor="text1" w:themeTint="80"/>
      </w:rPr>
      <w:t xml:space="preserve"> </w:t>
    </w:r>
    <w:r w:rsidRPr="00152759">
      <w:rPr>
        <w:b/>
        <w:color w:val="7F7F7F" w:themeColor="text1" w:themeTint="80"/>
      </w:rPr>
      <w:t xml:space="preserve">|  </w:t>
    </w:r>
    <w:r w:rsidR="00445FD0">
      <w:rPr>
        <w:b/>
        <w:color w:val="7F7F7F" w:themeColor="text1" w:themeTint="80"/>
        <w:szCs w:val="22"/>
      </w:rPr>
      <w:t>EMM Evaluation of Changes in the MOPR on Financial Risk</w:t>
    </w:r>
    <w:r w:rsidR="00445FD0" w:rsidDel="00445FD0">
      <w:rPr>
        <w:b/>
        <w:color w:val="7F7F7F" w:themeColor="text1" w:themeTint="80"/>
      </w:rPr>
      <w:t xml:space="preserve"> </w:t>
    </w:r>
    <w:r>
      <w:rPr>
        <w:rFonts w:ascii="Times New Roman Bold" w:hAnsi="Times New Roman Bold"/>
        <w:b/>
        <w:color w:val="7F7F7F" w:themeColor="text1" w:themeTint="80"/>
        <w:sz w:val="22"/>
      </w:rPr>
      <w:tab/>
    </w:r>
  </w:p>
</w:ftr>
</file>

<file path=word/footer2.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7A266FE" w14:textId="0DD9FE40" w:rsidR="00395616" w:rsidRPr="00152759" w:rsidRDefault="00395616" w:rsidP="00395616">
    <w:pPr>
      <w:jc w:val="right"/>
      <w:rPr>
        <w:b/>
        <w:sz w:val="22"/>
        <w:szCs w:val="22"/>
      </w:rPr>
    </w:pPr>
    <w:r w:rsidRPr="00152759">
      <w:rPr>
        <w:b/>
        <w:noProof/>
        <w:color w:val="7F7F7F" w:themeColor="text1" w:themeTint="80"/>
        <w:szCs w:val="22"/>
      </w:rPr>
      <mc:AlternateContent>
        <mc:Choice Requires="wps">
          <w:drawing>
            <wp:anchor distT="4294967291" distB="4294967291" distL="114300" distR="114300" simplePos="0" relativeHeight="251658261" behindDoc="0" locked="0" layoutInCell="1" allowOverlap="1" wp14:anchorId="5C56091F" wp14:editId="6BA8C4D9">
              <wp:simplePos x="0" y="0"/>
              <wp:positionH relativeFrom="margin">
                <wp:align>right</wp:align>
              </wp:positionH>
              <wp:positionV relativeFrom="page">
                <wp:posOffset>9243060</wp:posOffset>
              </wp:positionV>
              <wp:extent cx="5943600" cy="0"/>
              <wp:effectExtent l="0" t="0" r="0" b="0"/>
              <wp:wrapNone/>
              <wp:docPr id="44" name="Straight Connector 42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5943600" cy="0"/>
                      </a:xfrm>
                      <a:prstGeom prst="line">
                        <a:avLst/>
                      </a:prstGeom>
                      <a:noFill/>
                      <a:ln w="12700">
                        <a:solidFill>
                          <a:schemeClr val="bg1">
                            <a:lumMod val="50000"/>
                          </a:schemeClr>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a="http://schemas.openxmlformats.org/drawingml/2006/main" xmlns:a14="http://schemas.microsoft.com/office/drawing/2010/main" xmlns:arto="http://schemas.microsoft.com/office/word/2006/arto"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w:pict w14:anchorId="167CFFF5">
            <v:line id="Straight Connector 425" style="position:absolute;flip:y;z-index:251658265;visibility:visible;mso-wrap-style:square;mso-width-percent:0;mso-height-percent:0;mso-wrap-distance-left:9pt;mso-wrap-distance-top:-1e-4mm;mso-wrap-distance-right:9pt;mso-wrap-distance-bottom:-1e-4mm;mso-position-horizontal:right;mso-position-horizontal-relative:margin;mso-position-vertical:absolute;mso-position-vertical-relative:page;mso-width-percent:0;mso-height-percent:0;mso-width-relative:page;mso-height-relative:page" o:spid="_x0000_s1026" strokecolor="#7f7f7f [1612]" strokeweight="1pt" from="416.8pt,727.8pt" to="884.8pt,727.8pt" w14:anchorId="1518AD7B"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">
              <w10:wrap anchorx="margin" anchory="page"/>
            </v:line>
          </w:pict>
        </mc:Fallback>
      </mc:AlternateContent>
    </w:r>
    <w:r w:rsidRPr="00152759">
      <w:rPr>
        <w:b/>
        <w:noProof/>
        <w:color w:val="7F7F7F" w:themeColor="text1" w:themeTint="80"/>
        <w:sz w:val="28"/>
      </w:rPr>
      <mc:AlternateContent>
        <mc:Choice Requires="wps">
          <w:drawing>
            <wp:anchor distT="0" distB="0" distL="114300" distR="114300" simplePos="0" relativeHeight="251658262" behindDoc="0" locked="0" layoutInCell="1" allowOverlap="1" wp14:anchorId="4494A9D3" wp14:editId="1643DA33">
              <wp:simplePos x="0" y="0"/>
              <wp:positionH relativeFrom="page">
                <wp:align>right</wp:align>
              </wp:positionH>
              <wp:positionV relativeFrom="page">
                <wp:posOffset>9535432</wp:posOffset>
              </wp:positionV>
              <wp:extent cx="1370330" cy="132715"/>
              <wp:effectExtent l="0" t="0" r="1270" b="635"/>
              <wp:wrapNone/>
              <wp:docPr id="45" name="Rectangle 45"/>
              <wp:cNvGraphicFramePr/>
              <a:graphic xmlns:a="http://schemas.openxmlformats.org/drawingml/2006/main">
                <a:graphicData uri="http://schemas.microsoft.com/office/word/2010/wordprocessingShape">
                  <wps:wsp>
                    <wps:cNvSpPr/>
                    <wps:spPr>
                      <a:xfrm>
                        <a:off x="0" y="0"/>
                        <a:ext cx="1370330" cy="132715"/>
                      </a:xfrm>
                      <a:prstGeom prst="rect">
                        <a:avLst/>
                      </a:prstGeom>
                      <a:solidFill>
                        <a:schemeClr val="bg1">
                          <a:lumMod val="65000"/>
                        </a:schemeClr>
                      </a:solidFill>
                      <a:ln>
                        <a:noFill/>
                      </a:ln>
                      <a:effectLst/>
                    </wps:spPr>
                    <wps:style>
                      <a:lnRef idx="1">
                        <a:schemeClr val="accent1"/>
                      </a:lnRef>
                      <a:fillRef idx="3">
                        <a:schemeClr val="accent1"/>
                      </a:fillRef>
                      <a:effectRef idx="2">
                        <a:schemeClr val="accent1"/>
                      </a:effectRef>
                      <a:fontRef idx="minor">
                        <a:schemeClr val="lt1"/>
                      </a:fontRef>
                    </wps:style>
                    <wps:txbx>
                      <w:txbxContent>
                        <w:p w14:paraId="0CF8D69D" w14:textId="77777777" w:rsidR="00395616" w:rsidRDefault="00395616" w:rsidP="00395616">
                          <w:pPr>
                            <w:jc w:val="center"/>
                          </w:pPr>
                          <w:r>
                            <w:t>/</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w:pict>
            <v:rect w14:anchorId="4494A9D3" id="Rectangle 45" o:spid="_x0000_s1030" style="position:absolute;left:0;text-align:left;margin-left:56.7pt;margin-top:750.8pt;width:107.9pt;height:10.45pt;z-index:251658262;visibility:visible;mso-wrap-style:square;mso-width-percent:0;mso-height-percent:0;mso-wrap-distance-left:9pt;mso-wrap-distance-top:0;mso-wrap-distance-right:9pt;mso-wrap-distance-bottom:0;mso-position-horizontal:right;mso-position-horizontal-relative:page;mso-position-vertical:absolute;mso-position-vertical-relative:page;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" fillcolor="#a5a5a5 [2092]" stroked="f">
              <v:textbox>
                <w:txbxContent>
                  <w:p w14:paraId="0CF8D69D" w14:textId="77777777" w:rsidR="00395616" w:rsidRDefault="00395616" w:rsidP="00395616">
                    <w:pPr>
                      <w:jc w:val="center"/>
                    </w:pPr>
                    <w:r>
                      <w:t>/</w:t>
                    </w:r>
                  </w:p>
                </w:txbxContent>
              </v:textbox>
              <w10:wrap anchorx="page" anchory="page"/>
            </v:rect>
          </w:pict>
        </mc:Fallback>
      </mc:AlternateContent>
    </w:r>
    <w:r w:rsidR="00254BE1" w:rsidRPr="00254BE1">
      <w:rPr>
        <w:b/>
        <w:color w:val="7F7F7F" w:themeColor="text1" w:themeTint="80"/>
        <w:szCs w:val="22"/>
      </w:rPr>
      <w:t xml:space="preserve"> </w:t>
    </w:r>
    <w:r w:rsidR="00254BE1">
      <w:rPr>
        <w:b/>
        <w:color w:val="7F7F7F" w:themeColor="text1" w:themeTint="80"/>
        <w:szCs w:val="22"/>
      </w:rPr>
      <w:t>EMM Evaluation of Changes in the MOPR on Financial Risk</w:t>
    </w:r>
    <w:r w:rsidR="00742F79" w:rsidRPr="00152759">
      <w:rPr>
        <w:b/>
        <w:noProof/>
        <w:color w:val="7F7F7F" w:themeColor="text1" w:themeTint="80"/>
      </w:rPr>
      <w:t xml:space="preserve"> </w:t>
    </w:r>
    <w:r w:rsidR="00742F79" w:rsidRPr="00152759">
      <w:rPr>
        <w:b/>
        <w:smallCaps/>
        <w:color w:val="7F7F7F" w:themeColor="text1" w:themeTint="80"/>
      </w:rPr>
      <w:t xml:space="preserve"> </w:t>
    </w:r>
    <w:r w:rsidR="00742F79" w:rsidRPr="00152759">
      <w:rPr>
        <w:b/>
        <w:color w:val="7F7F7F" w:themeColor="text1" w:themeTint="80"/>
      </w:rPr>
      <w:t>|</w:t>
    </w:r>
    <w:r w:rsidR="00742F79">
      <w:rPr>
        <w:b/>
        <w:color w:val="7F7F7F" w:themeColor="text1" w:themeTint="80"/>
      </w:rPr>
      <w:t xml:space="preserve">  </w:t>
    </w:r>
    <w:r w:rsidR="00742F79" w:rsidRPr="00152759">
      <w:rPr>
        <w:b/>
        <w:color w:val="7F7F7F" w:themeColor="text1" w:themeTint="80"/>
      </w:rPr>
      <w:fldChar w:fldCharType="begin"/>
    </w:r>
    <w:r w:rsidR="00742F79" w:rsidRPr="00152759">
      <w:rPr>
        <w:b/>
        <w:color w:val="7F7F7F" w:themeColor="text1" w:themeTint="80"/>
      </w:rPr>
      <w:instrText xml:space="preserve"> PAGE   \* MERGEFORMAT </w:instrText>
    </w:r>
    <w:r w:rsidR="00742F79" w:rsidRPr="00152759">
      <w:rPr>
        <w:b/>
        <w:color w:val="7F7F7F" w:themeColor="text1" w:themeTint="80"/>
      </w:rPr>
      <w:fldChar w:fldCharType="separate"/>
    </w:r>
    <w:r w:rsidR="00A7635D">
      <w:rPr>
        <w:b/>
        <w:noProof/>
        <w:color w:val="7F7F7F" w:themeColor="text1" w:themeTint="80"/>
      </w:rPr>
      <w:t>i</w:t>
    </w:r>
    <w:r w:rsidR="00742F79" w:rsidRPr="00152759">
      <w:rPr>
        <w:b/>
        <w:noProof/>
        <w:color w:val="7F7F7F" w:themeColor="text1" w:themeTint="80"/>
      </w:rPr>
      <w:fldChar w:fldCharType="end"/>
    </w:r>
    <w:r w:rsidR="00742F79" w:rsidRPr="00152759">
      <w:rPr>
        <w:b/>
        <w:color w:val="7F7F7F" w:themeColor="text1" w:themeTint="80"/>
      </w:rPr>
      <w:t xml:space="preserve"> </w:t>
    </w:r>
    <w:r>
      <w:rPr>
        <w:b/>
        <w:color w:val="7F7F7F" w:themeColor="text1" w:themeTint="80"/>
        <w:szCs w:val="22"/>
      </w:rPr>
      <w:t xml:space="preserve">  </w:t>
    </w:r>
  </w:p>
</w:ftr>
</file>

<file path=word/footer3.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158180E0" w14:textId="77777777" w:rsidR="00A7635D" w:rsidRDefault="00A7635D">
    <w:pPr>
      <w:pStyle w:val="Footer"/>
    </w:pPr>
  </w:p>
</w:ftr>
</file>

<file path=word/footer4.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41D2EA98" w14:textId="1FF2C445" w:rsidR="00962FB5" w:rsidRPr="00152759" w:rsidRDefault="00962FB5" w:rsidP="001D2A6E">
    <w:pPr>
      <w:jc w:val="right"/>
      <w:rPr>
        <w:b/>
        <w:sz w:val="22"/>
        <w:szCs w:val="22"/>
      </w:rPr>
    </w:pPr>
    <w:r w:rsidRPr="00152759">
      <w:rPr>
        <w:b/>
        <w:noProof/>
        <w:color w:val="7F7F7F" w:themeColor="text1" w:themeTint="80"/>
        <w:szCs w:val="22"/>
      </w:rPr>
      <mc:AlternateContent>
        <mc:Choice Requires="wps">
          <w:drawing>
            <wp:anchor distT="4294967291" distB="4294967291" distL="114300" distR="114300" simplePos="0" relativeHeight="251658247" behindDoc="0" locked="0" layoutInCell="1" allowOverlap="1" wp14:anchorId="537EA1A2" wp14:editId="3C0BAA94">
              <wp:simplePos x="0" y="0"/>
              <wp:positionH relativeFrom="margin">
                <wp:align>right</wp:align>
              </wp:positionH>
              <wp:positionV relativeFrom="page">
                <wp:posOffset>9243060</wp:posOffset>
              </wp:positionV>
              <wp:extent cx="5943600" cy="0"/>
              <wp:effectExtent l="0" t="0" r="0" b="0"/>
              <wp:wrapNone/>
              <wp:docPr id="13" name="Straight Connector 42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5943600" cy="0"/>
                      </a:xfrm>
                      <a:prstGeom prst="line">
                        <a:avLst/>
                      </a:prstGeom>
                      <a:noFill/>
                      <a:ln w="12700">
                        <a:solidFill>
                          <a:schemeClr val="bg1">
                            <a:lumMod val="50000"/>
                          </a:schemeClr>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a="http://schemas.openxmlformats.org/drawingml/2006/main" xmlns:a14="http://schemas.microsoft.com/office/drawing/2010/main" xmlns:arto="http://schemas.microsoft.com/office/word/2006/arto"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w:pict w14:anchorId="600EDC96">
            <v:line id="Straight Connector 425" style="position:absolute;flip:y;z-index:251658247;visibility:visible;mso-wrap-style:square;mso-width-percent:0;mso-height-percent:0;mso-wrap-distance-left:9pt;mso-wrap-distance-top:-1e-4mm;mso-wrap-distance-right:9pt;mso-wrap-distance-bottom:-1e-4mm;mso-position-horizontal:right;mso-position-horizontal-relative:margin;mso-position-vertical:absolute;mso-position-vertical-relative:page;mso-width-percent:0;mso-height-percent:0;mso-width-relative:page;mso-height-relative:page" o:spid="_x0000_s1026" strokecolor="#7f7f7f [1612]" strokeweight="1pt" from="416.8pt,727.8pt" to="884.8pt,727.8pt" w14:anchorId="151AFCD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">
              <w10:wrap anchorx="margin" anchory="page"/>
            </v:line>
          </w:pict>
        </mc:Fallback>
      </mc:AlternateContent>
    </w:r>
    <w:r w:rsidRPr="00152759">
      <w:rPr>
        <w:b/>
        <w:noProof/>
        <w:color w:val="7F7F7F" w:themeColor="text1" w:themeTint="80"/>
        <w:sz w:val="28"/>
      </w:rPr>
      <mc:AlternateContent>
        <mc:Choice Requires="wps">
          <w:drawing>
            <wp:anchor distT="0" distB="0" distL="114300" distR="114300" simplePos="0" relativeHeight="251658248" behindDoc="0" locked="0" layoutInCell="1" allowOverlap="1" wp14:anchorId="269BCABB" wp14:editId="41BD2F0A">
              <wp:simplePos x="0" y="0"/>
              <wp:positionH relativeFrom="page">
                <wp:align>right</wp:align>
              </wp:positionH>
              <wp:positionV relativeFrom="page">
                <wp:posOffset>9535432</wp:posOffset>
              </wp:positionV>
              <wp:extent cx="1370330" cy="132715"/>
              <wp:effectExtent l="0" t="0" r="1270" b="635"/>
              <wp:wrapNone/>
              <wp:docPr id="14" name="Rectangle 14"/>
              <wp:cNvGraphicFramePr/>
              <a:graphic xmlns:a="http://schemas.openxmlformats.org/drawingml/2006/main">
                <a:graphicData uri="http://schemas.microsoft.com/office/word/2010/wordprocessingShape">
                  <wps:wsp>
                    <wps:cNvSpPr/>
                    <wps:spPr>
                      <a:xfrm>
                        <a:off x="0" y="0"/>
                        <a:ext cx="1370330" cy="132715"/>
                      </a:xfrm>
                      <a:prstGeom prst="rect">
                        <a:avLst/>
                      </a:prstGeom>
                      <a:solidFill>
                        <a:schemeClr val="bg1">
                          <a:lumMod val="65000"/>
                        </a:schemeClr>
                      </a:solidFill>
                      <a:ln>
                        <a:noFill/>
                      </a:ln>
                      <a:effectLst/>
                    </wps:spPr>
                    <wps:style>
                      <a:lnRef idx="1">
                        <a:schemeClr val="accent1"/>
                      </a:lnRef>
                      <a:fillRef idx="3">
                        <a:schemeClr val="accent1"/>
                      </a:fillRef>
                      <a:effectRef idx="2">
                        <a:schemeClr val="accent1"/>
                      </a:effectRef>
                      <a:fontRef idx="minor">
                        <a:schemeClr val="lt1"/>
                      </a:fontRef>
                    </wps:style>
                    <wps:txbx>
                      <w:txbxContent>
                        <w:p w14:paraId="0B3312C9" w14:textId="77777777" w:rsidR="00962FB5" w:rsidRDefault="00962FB5" w:rsidP="00C860FD">
                          <w:pPr>
                            <w:jc w:val="center"/>
                          </w:pPr>
                          <w:r>
                            <w:t>/</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w:pict>
            <v:rect w14:anchorId="269BCABB" id="Rectangle 14" o:spid="_x0000_s1035" style="position:absolute;left:0;text-align:left;margin-left:56.7pt;margin-top:750.8pt;width:107.9pt;height:10.45pt;z-index:251658248;visibility:visible;mso-wrap-style:square;mso-width-percent:0;mso-height-percent:0;mso-wrap-distance-left:9pt;mso-wrap-distance-top:0;mso-wrap-distance-right:9pt;mso-wrap-distance-bottom:0;mso-position-horizontal:right;mso-position-horizontal-relative:page;mso-position-vertical:absolute;mso-position-vertical-relative:page;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" fillcolor="#a5a5a5 [2092]" stroked="f">
              <v:textbox>
                <w:txbxContent>
                  <w:p w14:paraId="0B3312C9" w14:textId="77777777" w:rsidR="00962FB5" w:rsidRDefault="00962FB5" w:rsidP="00C860FD">
                    <w:pPr>
                      <w:jc w:val="center"/>
                    </w:pPr>
                    <w:r>
                      <w:t>/</w:t>
                    </w:r>
                  </w:p>
                </w:txbxContent>
              </v:textbox>
              <w10:wrap anchorx="page" anchory="page"/>
            </v:rect>
          </w:pict>
        </mc:Fallback>
      </mc:AlternateContent>
    </w:r>
    <w:r w:rsidR="00445FD0">
      <w:rPr>
        <w:b/>
        <w:color w:val="7F7F7F" w:themeColor="text1" w:themeTint="80"/>
        <w:szCs w:val="22"/>
      </w:rPr>
      <w:t>EMM Evaluation of Changes in the MOPR on Financial Risk</w:t>
    </w:r>
    <w:r>
      <w:rPr>
        <w:b/>
        <w:color w:val="7F7F7F" w:themeColor="text1" w:themeTint="80"/>
        <w:szCs w:val="22"/>
      </w:rPr>
      <w:t xml:space="preserve"> | </w:t>
    </w:r>
    <w:r w:rsidRPr="00152759">
      <w:rPr>
        <w:b/>
        <w:color w:val="7F7F7F" w:themeColor="text1" w:themeTint="80"/>
        <w:szCs w:val="22"/>
      </w:rPr>
      <w:t xml:space="preserve"> </w:t>
    </w:r>
    <w:r w:rsidRPr="00152759">
      <w:rPr>
        <w:b/>
        <w:color w:val="7F7F7F" w:themeColor="text1" w:themeTint="80"/>
        <w:szCs w:val="22"/>
      </w:rPr>
      <w:fldChar w:fldCharType="begin"/>
    </w:r>
    <w:r w:rsidRPr="00152759">
      <w:rPr>
        <w:b/>
        <w:color w:val="7F7F7F" w:themeColor="text1" w:themeTint="80"/>
        <w:szCs w:val="22"/>
      </w:rPr>
      <w:instrText xml:space="preserve"> PAGE   \* MERGEFORMAT </w:instrText>
    </w:r>
    <w:r w:rsidRPr="00152759">
      <w:rPr>
        <w:b/>
        <w:color w:val="7F7F7F" w:themeColor="text1" w:themeTint="80"/>
        <w:szCs w:val="22"/>
      </w:rPr>
      <w:fldChar w:fldCharType="separate"/>
    </w:r>
    <w:r w:rsidR="00A7635D">
      <w:rPr>
        <w:b/>
        <w:noProof/>
        <w:color w:val="7F7F7F" w:themeColor="text1" w:themeTint="80"/>
        <w:szCs w:val="22"/>
      </w:rPr>
      <w:t>5</w:t>
    </w:r>
    <w:r w:rsidRPr="00152759">
      <w:rPr>
        <w:b/>
        <w:color w:val="7F7F7F" w:themeColor="text1" w:themeTint="80"/>
        <w:szCs w:val="22"/>
      </w:rP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30EB5B72" w14:textId="77777777" w:rsidR="00B32DE0" w:rsidRDefault="00B32DE0" w:rsidP="00B01790">
      <w:pPr>
        <w:spacing w:after="0"/>
      </w:pPr>
      <w:r>
        <w:separator/>
      </w:r>
    </w:p>
  </w:footnote>
  <w:footnote w:type="continuationSeparator" w:id="0">
    <w:p w14:paraId="773BABD7" w14:textId="77777777" w:rsidR="00B32DE0" w:rsidRDefault="00B32DE0" w:rsidP="006103BB">
      <w:pPr>
        <w:spacing w:after="0"/>
      </w:pPr>
      <w:r>
        <w:continuationSeparator/>
      </w:r>
    </w:p>
  </w:footnote>
  <w:footnote w:type="continuationNotice" w:id="1">
    <w:p w14:paraId="71C5D9D2" w14:textId="77777777" w:rsidR="00B32DE0" w:rsidRPr="00225575" w:rsidRDefault="00B32DE0" w:rsidP="00152759">
      <w:pPr>
        <w:pStyle w:val="Footer"/>
      </w:pPr>
    </w:p>
  </w:footnote>
  <w:footnote w:id="2">
    <w:p w14:paraId="2B0A132C" w14:textId="77777777" w:rsidR="00962FB5" w:rsidRDefault="00962FB5" w:rsidP="0003581F">
      <w:pPr>
        <w:pStyle w:val="rptexecsummfootnotetext"/>
        <w:spacing w:after="0"/>
      </w:pPr>
      <w:r>
        <w:rPr>
          <w:rStyle w:val="FootnoteReference"/>
        </w:rPr>
        <w:footnoteRef/>
      </w:r>
      <w:r>
        <w:t xml:space="preserve"> </w:t>
      </w:r>
      <w:r>
        <w:tab/>
      </w:r>
      <w:r w:rsidRPr="00CF70FA">
        <w:t>The functions of the External Market Monitor are listed in Appendix III.A.2.2 of “Market Rule 1.”</w:t>
      </w:r>
    </w:p>
  </w:footnote>
  <w:footnote w:id="3">
    <w:p w14:paraId="568C4230" w14:textId="2028D40E" w:rsidR="002E2093" w:rsidRDefault="002E2093" w:rsidP="00757155">
      <w:pPr>
        <w:pStyle w:val="rptexecsummfootnotetext"/>
      </w:pPr>
      <w:r>
        <w:rPr>
          <w:rStyle w:val="FootnoteReference"/>
        </w:rPr>
        <w:footnoteRef/>
      </w:r>
      <w:r>
        <w:t xml:space="preserve"> </w:t>
      </w:r>
      <w:r>
        <w:tab/>
      </w:r>
      <w:r w:rsidR="00F94A19">
        <w:t xml:space="preserve">Under long-term equilibrium conditions, the </w:t>
      </w:r>
      <w:r w:rsidR="00A8152D">
        <w:t>total revenues to the reference unit are adequate to cover its capital and operating expenses.</w:t>
      </w:r>
    </w:p>
  </w:footnote>
  <w:footnote w:id="4">
    <w:p w14:paraId="3089600A" w14:textId="0EB27FE4" w:rsidR="00766A92" w:rsidRDefault="00766A92" w:rsidP="00766A92">
      <w:pPr>
        <w:pStyle w:val="rptmainbodyfootnotetext"/>
      </w:pPr>
      <w:r>
        <w:rPr>
          <w:rStyle w:val="FootnoteReference"/>
        </w:rPr>
        <w:footnoteRef/>
      </w:r>
      <w:r>
        <w:t xml:space="preserve"> </w:t>
      </w:r>
      <w:r>
        <w:tab/>
      </w:r>
      <w:r w:rsidR="00E66BCA">
        <w:t xml:space="preserve">See </w:t>
      </w:r>
      <w:r w:rsidR="00767E67">
        <w:fldChar w:fldCharType="begin"/>
      </w:r>
      <w:r w:rsidR="00767E67">
        <w:instrText xml:space="preserve"> REF _Ref86064906 \h </w:instrText>
      </w:r>
      <w:r w:rsidR="00767E67">
        <w:fldChar w:fldCharType="separate"/>
      </w:r>
      <w:r w:rsidR="00767E67">
        <w:t xml:space="preserve">Table </w:t>
      </w:r>
      <w:r w:rsidR="00767E67">
        <w:rPr>
          <w:noProof/>
        </w:rPr>
        <w:t>1</w:t>
      </w:r>
      <w:r w:rsidR="00767E67">
        <w:fldChar w:fldCharType="end"/>
      </w:r>
      <w:r w:rsidR="00767E67">
        <w:t xml:space="preserve"> </w:t>
      </w:r>
      <w:r w:rsidR="00E66BCA">
        <w:t>for</w:t>
      </w:r>
      <w:r w:rsidRPr="00766A92">
        <w:t xml:space="preserve"> the </w:t>
      </w:r>
      <w:r>
        <w:t xml:space="preserve">extent to which </w:t>
      </w:r>
      <w:r w:rsidR="00E66BCA">
        <w:t>the states’ procurement targets for certain key technologies have evolved in recent years.</w:t>
      </w:r>
    </w:p>
  </w:footnote>
  <w:footnote w:id="5">
    <w:p w14:paraId="4AE0FB1E" w14:textId="5EA50E8A" w:rsidR="00931074" w:rsidRDefault="00931074" w:rsidP="0043124E">
      <w:pPr>
        <w:pStyle w:val="rptmainbodyfootnotetext"/>
      </w:pPr>
      <w:r>
        <w:rPr>
          <w:rStyle w:val="FootnoteReference"/>
        </w:rPr>
        <w:footnoteRef/>
      </w:r>
      <w:r>
        <w:t xml:space="preserve"> </w:t>
      </w:r>
      <w:r>
        <w:tab/>
      </w:r>
      <w:r w:rsidR="00991520">
        <w:t xml:space="preserve">See </w:t>
      </w:r>
      <w:r w:rsidR="007D0A53" w:rsidRPr="0043124E">
        <w:rPr>
          <w:i/>
          <w:iCs/>
        </w:rPr>
        <w:t xml:space="preserve">Section </w:t>
      </w:r>
      <w:r w:rsidR="00F24202">
        <w:rPr>
          <w:i/>
          <w:iCs/>
        </w:rPr>
        <w:t>4</w:t>
      </w:r>
      <w:r w:rsidR="00CB3015" w:rsidRPr="0043124E">
        <w:rPr>
          <w:i/>
          <w:iCs/>
        </w:rPr>
        <w:t>: Financial Assumptions</w:t>
      </w:r>
      <w:r w:rsidR="00CB3015">
        <w:t xml:space="preserve"> of </w:t>
      </w:r>
      <w:r w:rsidR="00396520">
        <w:t xml:space="preserve">the </w:t>
      </w:r>
      <w:r w:rsidR="00433462">
        <w:t xml:space="preserve">December 2020 report </w:t>
      </w:r>
      <w:r w:rsidR="00F603A7" w:rsidRPr="0043124E">
        <w:rPr>
          <w:i/>
          <w:iCs/>
        </w:rPr>
        <w:t xml:space="preserve">ISO-NE CONE and </w:t>
      </w:r>
      <w:r w:rsidR="00F25A0C" w:rsidRPr="0043124E">
        <w:rPr>
          <w:i/>
          <w:iCs/>
        </w:rPr>
        <w:t>ORTP Analysis</w:t>
      </w:r>
      <w:r w:rsidR="00F25A0C">
        <w:t>.</w:t>
      </w:r>
    </w:p>
  </w:footnote>
  <w:footnote w:id="6">
    <w:p w14:paraId="434A1A39" w14:textId="77777777" w:rsidR="002B4353" w:rsidRDefault="002B4353" w:rsidP="002A2626">
      <w:pPr>
        <w:pStyle w:val="rptmainbodyfootnotetext"/>
      </w:pPr>
      <w:r>
        <w:rPr>
          <w:rStyle w:val="FootnoteReference"/>
        </w:rPr>
        <w:footnoteRef/>
      </w:r>
      <w:r>
        <w:t xml:space="preserve"> </w:t>
      </w:r>
      <w:r>
        <w:tab/>
        <w:t xml:space="preserve">Under the CAPM formulation, </w:t>
      </w:r>
    </w:p>
    <w:p w14:paraId="0CDCC3E4" w14:textId="03988066" w:rsidR="002B4353" w:rsidRPr="00D92FD2" w:rsidRDefault="002B4353" w:rsidP="002A2626">
      <w:pPr>
        <w:pStyle w:val="rptmainbodyfootnotetext"/>
        <w:ind w:firstLine="720"/>
        <w:rPr>
          <w:i/>
          <w:iCs/>
        </w:rPr>
      </w:pPr>
      <w:r w:rsidRPr="00D92FD2">
        <w:rPr>
          <w:i/>
          <w:iCs/>
        </w:rPr>
        <w:t>Expected return of equity for an asset a = Risk-free Rate + β</w:t>
      </w:r>
      <w:r w:rsidRPr="00D92FD2">
        <w:rPr>
          <w:i/>
          <w:iCs/>
          <w:vertAlign w:val="subscript"/>
        </w:rPr>
        <w:t>a</w:t>
      </w:r>
      <w:r w:rsidRPr="00D92FD2">
        <w:rPr>
          <w:i/>
          <w:iCs/>
        </w:rPr>
        <w:t xml:space="preserve"> x Market Risk Premium</w:t>
      </w:r>
    </w:p>
    <w:p w14:paraId="05955E06" w14:textId="618A506C" w:rsidR="002B4353" w:rsidRPr="00756C23" w:rsidRDefault="002B4353" w:rsidP="004113B3">
      <w:pPr>
        <w:pStyle w:val="rptmainbodyfootnotetext"/>
        <w:ind w:firstLine="0"/>
        <w:rPr>
          <w:szCs w:val="20"/>
        </w:rPr>
      </w:pPr>
      <w:r w:rsidRPr="00756C23">
        <w:rPr>
          <w:szCs w:val="20"/>
        </w:rPr>
        <w:t>The CAPM β</w:t>
      </w:r>
      <w:r w:rsidRPr="00756C23">
        <w:rPr>
          <w:szCs w:val="20"/>
          <w:vertAlign w:val="subscript"/>
        </w:rPr>
        <w:t>a</w:t>
      </w:r>
      <w:r w:rsidRPr="00756C23">
        <w:rPr>
          <w:szCs w:val="20"/>
        </w:rPr>
        <w:t xml:space="preserve"> estimated as:</w:t>
      </w:r>
      <w:r>
        <w:rPr>
          <w:szCs w:val="20"/>
        </w:rPr>
        <w:t xml:space="preserve"> </w:t>
      </w:r>
      <w:r w:rsidRPr="00D92FD2">
        <w:rPr>
          <w:i/>
          <w:iCs/>
          <w:szCs w:val="20"/>
        </w:rPr>
        <w:t>β</w:t>
      </w:r>
      <w:r w:rsidRPr="00D92FD2">
        <w:rPr>
          <w:i/>
          <w:iCs/>
          <w:szCs w:val="20"/>
          <w:vertAlign w:val="subscript"/>
        </w:rPr>
        <w:t>a</w:t>
      </w:r>
      <w:r w:rsidRPr="00D92FD2">
        <w:rPr>
          <w:i/>
          <w:iCs/>
          <w:szCs w:val="20"/>
        </w:rPr>
        <w:t xml:space="preserve"> = σ</w:t>
      </w:r>
      <w:r w:rsidRPr="00D92FD2">
        <w:rPr>
          <w:i/>
          <w:iCs/>
          <w:szCs w:val="20"/>
          <w:vertAlign w:val="subscript"/>
        </w:rPr>
        <w:t>a</w:t>
      </w:r>
      <w:r w:rsidRPr="00D92FD2">
        <w:rPr>
          <w:i/>
          <w:iCs/>
          <w:szCs w:val="20"/>
        </w:rPr>
        <w:t>/σ</w:t>
      </w:r>
      <w:r w:rsidRPr="00D92FD2">
        <w:rPr>
          <w:i/>
          <w:iCs/>
          <w:szCs w:val="20"/>
          <w:vertAlign w:val="subscript"/>
        </w:rPr>
        <w:t>m</w:t>
      </w:r>
      <w:r w:rsidRPr="00D92FD2">
        <w:rPr>
          <w:i/>
          <w:iCs/>
          <w:szCs w:val="20"/>
        </w:rPr>
        <w:t xml:space="preserve"> x ρ</w:t>
      </w:r>
      <w:r w:rsidRPr="00D92FD2">
        <w:rPr>
          <w:i/>
          <w:iCs/>
          <w:szCs w:val="20"/>
          <w:vertAlign w:val="subscript"/>
        </w:rPr>
        <w:t>a,m</w:t>
      </w:r>
      <w:r w:rsidR="00722298">
        <w:rPr>
          <w:szCs w:val="20"/>
        </w:rPr>
        <w:t xml:space="preserve"> </w:t>
      </w:r>
      <w:r w:rsidRPr="00756C23">
        <w:rPr>
          <w:szCs w:val="20"/>
        </w:rPr>
        <w:t>where,</w:t>
      </w:r>
    </w:p>
    <w:p w14:paraId="4E44C9D8" w14:textId="77777777" w:rsidR="002B4353" w:rsidRDefault="002B4353" w:rsidP="00D212EA">
      <w:pPr>
        <w:pStyle w:val="rptmainbodyfootnotetext"/>
        <w:spacing w:after="60"/>
        <w:ind w:firstLine="720"/>
        <w:rPr>
          <w:szCs w:val="20"/>
        </w:rPr>
      </w:pPr>
      <w:r w:rsidRPr="00D212EA">
        <w:rPr>
          <w:i/>
          <w:iCs/>
          <w:szCs w:val="20"/>
        </w:rPr>
        <w:t>β</w:t>
      </w:r>
      <w:r w:rsidRPr="00D212EA">
        <w:rPr>
          <w:i/>
          <w:iCs/>
          <w:szCs w:val="20"/>
          <w:vertAlign w:val="subscript"/>
        </w:rPr>
        <w:t>a</w:t>
      </w:r>
      <w:r w:rsidRPr="00756C23">
        <w:rPr>
          <w:szCs w:val="20"/>
        </w:rPr>
        <w:t xml:space="preserve"> is the asset beta</w:t>
      </w:r>
      <w:r>
        <w:rPr>
          <w:szCs w:val="20"/>
        </w:rPr>
        <w:t>,</w:t>
      </w:r>
    </w:p>
    <w:p w14:paraId="4000501D" w14:textId="77777777" w:rsidR="002B4353" w:rsidRDefault="002B4353" w:rsidP="00D212EA">
      <w:pPr>
        <w:pStyle w:val="rptmainbodyfootnotetext"/>
        <w:spacing w:after="60"/>
        <w:ind w:firstLine="720"/>
        <w:rPr>
          <w:szCs w:val="20"/>
        </w:rPr>
      </w:pPr>
      <w:r w:rsidRPr="00D212EA">
        <w:rPr>
          <w:i/>
          <w:iCs/>
          <w:szCs w:val="20"/>
        </w:rPr>
        <w:t>σ</w:t>
      </w:r>
      <w:r w:rsidRPr="00D212EA">
        <w:rPr>
          <w:i/>
          <w:iCs/>
          <w:szCs w:val="20"/>
          <w:vertAlign w:val="subscript"/>
        </w:rPr>
        <w:t>a</w:t>
      </w:r>
      <w:r>
        <w:rPr>
          <w:szCs w:val="20"/>
        </w:rPr>
        <w:t xml:space="preserve"> is the standard deviation of the asset’s returns,</w:t>
      </w:r>
    </w:p>
    <w:p w14:paraId="670E50E9" w14:textId="77777777" w:rsidR="002B4353" w:rsidRDefault="002B4353" w:rsidP="00D212EA">
      <w:pPr>
        <w:pStyle w:val="rptmainbodyfootnotetext"/>
        <w:spacing w:after="60"/>
        <w:ind w:firstLine="720"/>
        <w:rPr>
          <w:szCs w:val="20"/>
        </w:rPr>
      </w:pPr>
      <w:r w:rsidRPr="00D212EA">
        <w:rPr>
          <w:i/>
          <w:iCs/>
          <w:szCs w:val="20"/>
        </w:rPr>
        <w:t>σ</w:t>
      </w:r>
      <w:r w:rsidRPr="00D212EA">
        <w:rPr>
          <w:i/>
          <w:iCs/>
          <w:szCs w:val="20"/>
          <w:vertAlign w:val="subscript"/>
        </w:rPr>
        <w:t>m</w:t>
      </w:r>
      <w:r>
        <w:rPr>
          <w:szCs w:val="20"/>
        </w:rPr>
        <w:t xml:space="preserve"> is the standard deviation of the market’s returns,</w:t>
      </w:r>
    </w:p>
    <w:p w14:paraId="342032B1" w14:textId="274737D1" w:rsidR="002B7842" w:rsidRDefault="002B4353" w:rsidP="00D212EA">
      <w:pPr>
        <w:pStyle w:val="rptmainbodyfootnotetext"/>
        <w:spacing w:after="60"/>
        <w:ind w:firstLine="720"/>
        <w:rPr>
          <w:szCs w:val="20"/>
        </w:rPr>
      </w:pPr>
      <w:r w:rsidRPr="00D212EA">
        <w:rPr>
          <w:i/>
          <w:iCs/>
          <w:szCs w:val="20"/>
        </w:rPr>
        <w:t>ρ</w:t>
      </w:r>
      <w:r w:rsidRPr="00D212EA">
        <w:rPr>
          <w:i/>
          <w:iCs/>
          <w:szCs w:val="20"/>
          <w:vertAlign w:val="subscript"/>
        </w:rPr>
        <w:t>a,m</w:t>
      </w:r>
      <w:r>
        <w:rPr>
          <w:szCs w:val="20"/>
        </w:rPr>
        <w:t xml:space="preserve"> is the correlation coefficient of market</w:t>
      </w:r>
      <w:r w:rsidR="00870B57">
        <w:rPr>
          <w:szCs w:val="20"/>
        </w:rPr>
        <w:t>’s</w:t>
      </w:r>
      <w:r>
        <w:rPr>
          <w:szCs w:val="20"/>
        </w:rPr>
        <w:t xml:space="preserve"> returns </w:t>
      </w:r>
      <w:r w:rsidR="00870B57">
        <w:rPr>
          <w:szCs w:val="20"/>
        </w:rPr>
        <w:t>to</w:t>
      </w:r>
      <w:r>
        <w:rPr>
          <w:szCs w:val="20"/>
        </w:rPr>
        <w:t xml:space="preserve"> the asset</w:t>
      </w:r>
      <w:r w:rsidR="00870B57">
        <w:rPr>
          <w:szCs w:val="20"/>
        </w:rPr>
        <w:t>’s</w:t>
      </w:r>
      <w:r>
        <w:rPr>
          <w:szCs w:val="20"/>
        </w:rPr>
        <w:t xml:space="preserve"> returns</w:t>
      </w:r>
      <w:r w:rsidR="0015273B">
        <w:rPr>
          <w:szCs w:val="20"/>
        </w:rPr>
        <w:t>.</w:t>
      </w:r>
    </w:p>
    <w:p w14:paraId="6734A795" w14:textId="797C5D22" w:rsidR="00710496" w:rsidRDefault="00A23F86" w:rsidP="004113B3">
      <w:pPr>
        <w:pStyle w:val="rptmainbodyfootnotetext"/>
        <w:ind w:firstLine="0"/>
      </w:pPr>
      <w:r>
        <w:rPr>
          <w:szCs w:val="20"/>
        </w:rPr>
        <w:t xml:space="preserve">Therefore, </w:t>
      </w:r>
      <w:r w:rsidR="00993663">
        <w:rPr>
          <w:szCs w:val="20"/>
        </w:rPr>
        <w:t>if the standard deviation of the asset’s returns</w:t>
      </w:r>
      <w:r w:rsidR="005851AD">
        <w:rPr>
          <w:szCs w:val="20"/>
        </w:rPr>
        <w:t xml:space="preserve"> increase, </w:t>
      </w:r>
      <w:r w:rsidR="00993663">
        <w:rPr>
          <w:szCs w:val="20"/>
        </w:rPr>
        <w:t>the beta of</w:t>
      </w:r>
      <w:r w:rsidR="005851AD">
        <w:rPr>
          <w:szCs w:val="20"/>
        </w:rPr>
        <w:t xml:space="preserve"> the</w:t>
      </w:r>
      <w:r w:rsidR="00993663">
        <w:rPr>
          <w:szCs w:val="20"/>
        </w:rPr>
        <w:t xml:space="preserve"> asset will increas</w:t>
      </w:r>
      <w:r w:rsidR="005851AD">
        <w:rPr>
          <w:szCs w:val="20"/>
        </w:rPr>
        <w:t xml:space="preserve">e </w:t>
      </w:r>
      <w:r w:rsidR="009F158D">
        <w:rPr>
          <w:szCs w:val="20"/>
        </w:rPr>
        <w:t>linearly</w:t>
      </w:r>
      <w:r w:rsidR="00A7061B">
        <w:rPr>
          <w:szCs w:val="20"/>
        </w:rPr>
        <w:t xml:space="preserve">, </w:t>
      </w:r>
      <w:r w:rsidR="00DC288B">
        <w:rPr>
          <w:szCs w:val="20"/>
        </w:rPr>
        <w:t xml:space="preserve">since </w:t>
      </w:r>
      <w:r w:rsidR="00A7061B">
        <w:rPr>
          <w:szCs w:val="20"/>
        </w:rPr>
        <w:t>the correlation coefficient of the asset’s returns and the market</w:t>
      </w:r>
      <w:r w:rsidR="007D2B19">
        <w:rPr>
          <w:szCs w:val="20"/>
        </w:rPr>
        <w:t>’s</w:t>
      </w:r>
      <w:r w:rsidR="00A7061B">
        <w:rPr>
          <w:szCs w:val="20"/>
        </w:rPr>
        <w:t xml:space="preserve"> returns</w:t>
      </w:r>
      <w:r w:rsidR="007D2B19">
        <w:rPr>
          <w:szCs w:val="20"/>
        </w:rPr>
        <w:t xml:space="preserve"> </w:t>
      </w:r>
      <w:r w:rsidR="00BE27E3">
        <w:rPr>
          <w:szCs w:val="20"/>
        </w:rPr>
        <w:t xml:space="preserve">are expected to </w:t>
      </w:r>
      <w:r w:rsidR="007D2B19">
        <w:rPr>
          <w:szCs w:val="20"/>
        </w:rPr>
        <w:t xml:space="preserve">remain constant.  </w:t>
      </w:r>
    </w:p>
  </w:footnote>
  <w:footnote w:id="7">
    <w:p w14:paraId="548138DF" w14:textId="7254861F" w:rsidR="00B30BB0" w:rsidRDefault="00B30BB0" w:rsidP="00B30BB0">
      <w:pPr>
        <w:pStyle w:val="rptmainbodyfootnotetext"/>
      </w:pPr>
      <w:r>
        <w:rPr>
          <w:rStyle w:val="FootnoteReference"/>
        </w:rPr>
        <w:footnoteRef/>
      </w:r>
      <w:r>
        <w:t xml:space="preserve"> </w:t>
      </w:r>
      <w:r>
        <w:tab/>
        <w:t xml:space="preserve">For instance, the </w:t>
      </w:r>
      <w:r w:rsidR="00D21785">
        <w:t>project development</w:t>
      </w:r>
      <w:r>
        <w:t xml:space="preserve"> risk, </w:t>
      </w:r>
      <w:r w:rsidR="00795A43">
        <w:t xml:space="preserve">risk of fuel supply disruptions, </w:t>
      </w:r>
      <w:r>
        <w:t>and performance risk are unlikely to be different across the MOPR and No MOPR cases.</w:t>
      </w:r>
    </w:p>
  </w:footnote>
  <w:footnote w:id="8">
    <w:p w14:paraId="7EFFE4FF" w14:textId="6A2A4A08" w:rsidR="006141C9" w:rsidRDefault="006141C9" w:rsidP="006141C9">
      <w:pPr>
        <w:pStyle w:val="rptmainbodyfootnotetext"/>
      </w:pPr>
      <w:r>
        <w:rPr>
          <w:rStyle w:val="FootnoteReference"/>
        </w:rPr>
        <w:footnoteRef/>
      </w:r>
      <w:r>
        <w:t xml:space="preserve"> </w:t>
      </w:r>
      <w:r>
        <w:tab/>
      </w:r>
      <w:r w:rsidR="00DD1EDC">
        <w:t>For instance, Standard &amp; Poor’s criter</w:t>
      </w:r>
      <w:r w:rsidR="005628B6">
        <w:t xml:space="preserve">ia for assessing operating risk considers </w:t>
      </w:r>
      <w:r w:rsidR="003278CD">
        <w:t xml:space="preserve">the performance of the project </w:t>
      </w:r>
      <w:r w:rsidR="00E41F4A">
        <w:t xml:space="preserve">under market trough conditions and </w:t>
      </w:r>
      <w:r w:rsidR="00BA01F7">
        <w:t xml:space="preserve">the </w:t>
      </w:r>
      <w:r w:rsidR="005C7E8E">
        <w:t xml:space="preserve">difference between the expected and trough market conditions.  See </w:t>
      </w:r>
      <w:r w:rsidR="00545FEB">
        <w:t xml:space="preserve">pp. 44-48 </w:t>
      </w:r>
      <w:r w:rsidR="00467175">
        <w:t xml:space="preserve">and pp. </w:t>
      </w:r>
      <w:r w:rsidR="000B763D">
        <w:t xml:space="preserve">67-74 </w:t>
      </w:r>
      <w:r w:rsidR="00545FEB">
        <w:t xml:space="preserve">of </w:t>
      </w:r>
      <w:r w:rsidR="00756125">
        <w:rPr>
          <w:bCs/>
        </w:rPr>
        <w:t xml:space="preserve">Standard &amp;Poor’s </w:t>
      </w:r>
      <w:r w:rsidR="00756125">
        <w:rPr>
          <w:bCs/>
          <w:i/>
          <w:iCs/>
        </w:rPr>
        <w:t xml:space="preserve">Project Finance: </w:t>
      </w:r>
      <w:r w:rsidR="00C32264" w:rsidRPr="00C32264">
        <w:rPr>
          <w:bCs/>
          <w:i/>
          <w:iCs/>
        </w:rPr>
        <w:t>Project Finance Operations Methodology</w:t>
      </w:r>
      <w:r w:rsidR="00756125">
        <w:rPr>
          <w:bCs/>
          <w:i/>
          <w:iCs/>
        </w:rPr>
        <w:t xml:space="preserve"> </w:t>
      </w:r>
      <w:r w:rsidR="00756125">
        <w:rPr>
          <w:bCs/>
        </w:rPr>
        <w:t>published on September 16, 2014.</w:t>
      </w:r>
    </w:p>
  </w:footnote>
  <w:footnote w:id="9">
    <w:p w14:paraId="2AF25233" w14:textId="23EC777B" w:rsidR="00A04DBD" w:rsidRDefault="00A04DBD" w:rsidP="00373432">
      <w:pPr>
        <w:pStyle w:val="rptmainbodyfootnotetext"/>
      </w:pPr>
      <w:r>
        <w:rPr>
          <w:rStyle w:val="FootnoteReference"/>
        </w:rPr>
        <w:footnoteRef/>
      </w:r>
      <w:r>
        <w:t xml:space="preserve"> </w:t>
      </w:r>
      <w:r>
        <w:tab/>
      </w:r>
      <w:r w:rsidR="000916EE">
        <w:t xml:space="preserve">While </w:t>
      </w:r>
      <w:r w:rsidR="00C81697">
        <w:t xml:space="preserve">rating agencies consider </w:t>
      </w:r>
      <w:r w:rsidR="00F80A1F">
        <w:t>various</w:t>
      </w:r>
      <w:r w:rsidR="00C81697">
        <w:t xml:space="preserve"> </w:t>
      </w:r>
      <w:r w:rsidR="00D13A38">
        <w:t xml:space="preserve">qualitative and quantitative </w:t>
      </w:r>
      <w:r w:rsidR="00C81697">
        <w:t>criteria</w:t>
      </w:r>
      <w:r w:rsidR="00D32869">
        <w:t>, the DSCR</w:t>
      </w:r>
      <w:r w:rsidR="001544EF">
        <w:t xml:space="preserve"> </w:t>
      </w:r>
      <w:r w:rsidR="00023E50">
        <w:t xml:space="preserve">is a key metric </w:t>
      </w:r>
      <w:r w:rsidR="007C70A0">
        <w:t>that is</w:t>
      </w:r>
      <w:r w:rsidR="00023E50">
        <w:t xml:space="preserve"> utilized by </w:t>
      </w:r>
      <w:r w:rsidR="00DA5598">
        <w:t>all three rating agencies</w:t>
      </w:r>
      <w:r w:rsidR="000134A1">
        <w:t xml:space="preserve"> in evaluating loans.  </w:t>
      </w:r>
      <w:r w:rsidR="00023E50">
        <w:t xml:space="preserve">Fitch </w:t>
      </w:r>
      <w:r w:rsidR="004A3017">
        <w:t xml:space="preserve">Ratings </w:t>
      </w:r>
      <w:r w:rsidR="00023E50">
        <w:t>and S&amp;P</w:t>
      </w:r>
      <w:r w:rsidR="00E54687">
        <w:t xml:space="preserve"> </w:t>
      </w:r>
      <w:r w:rsidR="0053115A">
        <w:t xml:space="preserve">publish </w:t>
      </w:r>
      <w:r w:rsidR="002A3EBE">
        <w:t xml:space="preserve">explicit </w:t>
      </w:r>
      <w:r w:rsidR="003955EC">
        <w:t xml:space="preserve">guidance that </w:t>
      </w:r>
      <w:r w:rsidR="001107EA">
        <w:t>map</w:t>
      </w:r>
      <w:r w:rsidR="003955EC">
        <w:t>s a</w:t>
      </w:r>
      <w:r w:rsidR="001107EA">
        <w:t xml:space="preserve"> project’s DSCR</w:t>
      </w:r>
      <w:r w:rsidR="005441BF">
        <w:t xml:space="preserve"> to </w:t>
      </w:r>
      <w:r w:rsidR="005943D1">
        <w:t>a debt rating</w:t>
      </w:r>
      <w:r w:rsidR="004A3017">
        <w:t>.</w:t>
      </w:r>
      <w:r w:rsidR="00FE0D3B">
        <w:t xml:space="preserve">  DSCRs</w:t>
      </w:r>
      <w:r w:rsidR="00D962DA">
        <w:t xml:space="preserve"> can</w:t>
      </w:r>
      <w:r w:rsidR="00FE0D3B">
        <w:t xml:space="preserve"> </w:t>
      </w:r>
      <w:r w:rsidR="009E105F">
        <w:t xml:space="preserve">quantify </w:t>
      </w:r>
      <w:r w:rsidR="004A5C4B">
        <w:t xml:space="preserve">the volatility in </w:t>
      </w:r>
      <w:r w:rsidR="004A1974">
        <w:t>revenues</w:t>
      </w:r>
      <w:r w:rsidR="009E105F">
        <w:t xml:space="preserve"> over </w:t>
      </w:r>
      <w:r w:rsidR="006C7E54">
        <w:t>a portion of the term of a loan rather than</w:t>
      </w:r>
      <w:r w:rsidR="009E105F">
        <w:t xml:space="preserve"> </w:t>
      </w:r>
      <w:r w:rsidR="003E1CD0">
        <w:t xml:space="preserve">the entire term, </w:t>
      </w:r>
      <w:r w:rsidR="00F27D09">
        <w:t xml:space="preserve">making </w:t>
      </w:r>
      <w:r w:rsidR="00FB31A7">
        <w:t>them</w:t>
      </w:r>
      <w:r w:rsidR="00F27D09">
        <w:t xml:space="preserve"> well-</w:t>
      </w:r>
      <w:r w:rsidR="003E1CD0">
        <w:t>suited to</w:t>
      </w:r>
      <w:r w:rsidR="00C84B4E">
        <w:t xml:space="preserve"> </w:t>
      </w:r>
      <w:r w:rsidR="00127FDE">
        <w:t>our</w:t>
      </w:r>
      <w:r w:rsidR="00C84B4E">
        <w:t xml:space="preserve"> approach of modeling conditions over several years </w:t>
      </w:r>
      <w:r w:rsidR="008578FC">
        <w:t>that are representative of long-term equilibrium conditions</w:t>
      </w:r>
      <w:r w:rsidR="00FE0D3B">
        <w:t xml:space="preserve">.  </w:t>
      </w:r>
      <w:r w:rsidR="004A1974">
        <w:t xml:space="preserve">This </w:t>
      </w:r>
      <w:r w:rsidR="00F27D09">
        <w:t>differs from</w:t>
      </w:r>
      <w:r w:rsidR="004A1974">
        <w:t xml:space="preserve"> </w:t>
      </w:r>
      <w:r w:rsidR="00DB6BB9">
        <w:t xml:space="preserve">other metrics used by ratings agencies which </w:t>
      </w:r>
      <w:r w:rsidR="00B06C94">
        <w:t xml:space="preserve">measure </w:t>
      </w:r>
      <w:r w:rsidR="00D83C39">
        <w:t>the project</w:t>
      </w:r>
      <w:r w:rsidR="00924849">
        <w:t>’s ability</w:t>
      </w:r>
      <w:r w:rsidR="00D83C39">
        <w:t xml:space="preserve"> to </w:t>
      </w:r>
      <w:r w:rsidR="00D46060">
        <w:t xml:space="preserve">service its debt in </w:t>
      </w:r>
      <w:r w:rsidR="00D83C39">
        <w:t xml:space="preserve">aggregate over the </w:t>
      </w:r>
      <w:r w:rsidR="003C263F">
        <w:t xml:space="preserve">loan </w:t>
      </w:r>
      <w:r w:rsidR="00D46060">
        <w:t>term</w:t>
      </w:r>
      <w:r w:rsidR="004A1974">
        <w:t>.</w:t>
      </w:r>
    </w:p>
  </w:footnote>
  <w:footnote w:id="10">
    <w:p w14:paraId="58A478C0" w14:textId="41B06B35" w:rsidR="00857E06" w:rsidRDefault="00857E06" w:rsidP="00857E06">
      <w:pPr>
        <w:pStyle w:val="rptmainbodyfootnotetext"/>
      </w:pPr>
      <w:r>
        <w:rPr>
          <w:rStyle w:val="FootnoteReference"/>
        </w:rPr>
        <w:footnoteRef/>
      </w:r>
      <w:r>
        <w:t xml:space="preserve"> </w:t>
      </w:r>
      <w:r>
        <w:tab/>
      </w:r>
      <w:r w:rsidR="008D34F1">
        <w:t xml:space="preserve">In addition to </w:t>
      </w:r>
      <w:r w:rsidR="00C61F47">
        <w:t xml:space="preserve">considering cash flows </w:t>
      </w:r>
      <w:r w:rsidR="005173C7">
        <w:t xml:space="preserve">stresses </w:t>
      </w:r>
      <w:r w:rsidR="00C61F47">
        <w:t xml:space="preserve">due to market price volatility, the </w:t>
      </w:r>
      <w:r w:rsidR="008A4E51">
        <w:t xml:space="preserve">Rating </w:t>
      </w:r>
      <w:r w:rsidR="005173C7">
        <w:t>C</w:t>
      </w:r>
      <w:r w:rsidR="008A4E51">
        <w:t>ase also includes other stresses</w:t>
      </w:r>
      <w:r w:rsidR="00C61F47">
        <w:t xml:space="preserve"> associated with </w:t>
      </w:r>
      <w:r w:rsidR="00C22F04">
        <w:t>higher operating costs, worse than expected performance, and higher rate of outages</w:t>
      </w:r>
      <w:r w:rsidR="008A4E51">
        <w:t>.</w:t>
      </w:r>
      <w:r w:rsidR="00C61F47">
        <w:t xml:space="preserve">  </w:t>
      </w:r>
      <w:r w:rsidR="00620DD7">
        <w:t xml:space="preserve">See Fitch Ratings’ guidance </w:t>
      </w:r>
      <w:r w:rsidR="005F6BCE">
        <w:t xml:space="preserve">for development of Rating Case </w:t>
      </w:r>
      <w:r w:rsidR="008F1FBD">
        <w:t xml:space="preserve">on pages 9-10 of its </w:t>
      </w:r>
      <w:r w:rsidR="008F1FBD" w:rsidRPr="00D212EA">
        <w:rPr>
          <w:i/>
          <w:iCs/>
        </w:rPr>
        <w:t>Thermal Power Project Rating Criteria</w:t>
      </w:r>
      <w:r w:rsidR="008F1FBD">
        <w:t xml:space="preserve"> published in June 2021</w:t>
      </w:r>
      <w:r w:rsidR="00C61F47">
        <w:t xml:space="preserve">.  </w:t>
      </w:r>
    </w:p>
  </w:footnote>
  <w:footnote w:id="11">
    <w:p w14:paraId="4CD79B1A" w14:textId="6F974C1D" w:rsidR="00A76894" w:rsidRDefault="00415737" w:rsidP="00691D7F">
      <w:pPr>
        <w:pStyle w:val="rptmainbodyfootnotetext"/>
      </w:pPr>
      <w:r>
        <w:rPr>
          <w:rStyle w:val="FootnoteReference"/>
        </w:rPr>
        <w:footnoteRef/>
      </w:r>
      <w:r>
        <w:t xml:space="preserve"> </w:t>
      </w:r>
      <w:r>
        <w:tab/>
      </w:r>
      <w:r w:rsidR="00B21B99">
        <w:t xml:space="preserve">The table shows the guidance for a fully amortizing loan structure, which is </w:t>
      </w:r>
      <w:r w:rsidR="00B01208">
        <w:t>similar</w:t>
      </w:r>
      <w:r w:rsidR="00F9284D">
        <w:t xml:space="preserve"> to</w:t>
      </w:r>
      <w:r w:rsidR="00B01208">
        <w:t xml:space="preserve"> </w:t>
      </w:r>
      <w:r w:rsidR="000879D3">
        <w:t xml:space="preserve">the treatment of </w:t>
      </w:r>
      <w:r w:rsidR="002513F9">
        <w:t xml:space="preserve">debt </w:t>
      </w:r>
      <w:r w:rsidR="00B01208">
        <w:t>in the model used to determine the Net CONE</w:t>
      </w:r>
      <w:r w:rsidR="00037BE9">
        <w:t xml:space="preserve">.  </w:t>
      </w:r>
      <w:r w:rsidR="00395E23">
        <w:t>However</w:t>
      </w:r>
      <w:r w:rsidR="002513F9">
        <w:t>, m</w:t>
      </w:r>
      <w:r w:rsidR="002513F9" w:rsidRPr="002513F9">
        <w:t>ost project finance-based merchant projects rely on a Term B Loans (“TLB”) structure</w:t>
      </w:r>
      <w:r w:rsidR="009D3939">
        <w:t xml:space="preserve"> for their debt</w:t>
      </w:r>
      <w:r w:rsidR="002513F9" w:rsidRPr="002513F9">
        <w:t xml:space="preserve">.  </w:t>
      </w:r>
      <w:r w:rsidR="00EF690D">
        <w:t xml:space="preserve">TLBs are </w:t>
      </w:r>
      <w:r w:rsidR="002513F9" w:rsidRPr="002513F9">
        <w:t>characteri</w:t>
      </w:r>
      <w:r w:rsidR="00EF690D">
        <w:t>zed by</w:t>
      </w:r>
      <w:r w:rsidR="00205EC1">
        <w:t xml:space="preserve"> </w:t>
      </w:r>
      <w:r w:rsidR="00EF690D">
        <w:t xml:space="preserve">a modest paydown of principal during the loan term (typically 5-7 years) and a large bullet payment </w:t>
      </w:r>
      <w:r w:rsidR="00597840">
        <w:t>at the end of the term</w:t>
      </w:r>
      <w:r w:rsidR="002513F9" w:rsidRPr="002513F9">
        <w:t xml:space="preserve">.  </w:t>
      </w:r>
      <w:r w:rsidR="00A76894">
        <w:t xml:space="preserve">The bullet payments at the end of the term are </w:t>
      </w:r>
      <w:r w:rsidR="0069257F">
        <w:t xml:space="preserve">usually refinanced </w:t>
      </w:r>
      <w:r w:rsidR="007729ED">
        <w:t xml:space="preserve">using another TLB </w:t>
      </w:r>
      <w:r w:rsidR="0069257F">
        <w:t>or paid down through a fully amortizing loan, depending on the remaining life of the project.</w:t>
      </w:r>
    </w:p>
    <w:p w14:paraId="28D37BB1" w14:textId="1D4EC236" w:rsidR="00415737" w:rsidRDefault="00291780" w:rsidP="00735841">
      <w:pPr>
        <w:pStyle w:val="rptmainbodyfootnotetext"/>
        <w:ind w:firstLine="0"/>
      </w:pPr>
      <w:r>
        <w:t>The rating of a</w:t>
      </w:r>
      <w:r w:rsidR="001000BB">
        <w:t xml:space="preserve"> </w:t>
      </w:r>
      <w:r>
        <w:t xml:space="preserve">project that relies on TLB debt </w:t>
      </w:r>
      <w:r w:rsidR="005863EB">
        <w:t>could be</w:t>
      </w:r>
      <w:r w:rsidR="00516B56">
        <w:t xml:space="preserve"> determined by the </w:t>
      </w:r>
      <w:r w:rsidR="005863EB">
        <w:t xml:space="preserve">credit metrics in the TLB phase or in the refinance phase.  </w:t>
      </w:r>
      <w:r w:rsidR="005A2CD0">
        <w:t xml:space="preserve">As with a fully amortizing loan, </w:t>
      </w:r>
      <w:r w:rsidR="000F363A">
        <w:t>DSCR</w:t>
      </w:r>
      <w:r w:rsidR="00A37CAC">
        <w:t xml:space="preserve">s </w:t>
      </w:r>
      <w:r w:rsidR="005A2CD0">
        <w:t xml:space="preserve">are a useful metric to evaluate a project in its </w:t>
      </w:r>
      <w:r w:rsidR="00A37CAC">
        <w:t xml:space="preserve">TLB phase.  </w:t>
      </w:r>
      <w:r w:rsidR="005A2CD0">
        <w:t>I</w:t>
      </w:r>
      <w:r w:rsidR="00A37CAC">
        <w:t>f the DSCRs are robust</w:t>
      </w:r>
      <w:r w:rsidR="002D2E6C">
        <w:t xml:space="preserve"> </w:t>
      </w:r>
      <w:r w:rsidR="00A37CAC">
        <w:t>in the TLB phase</w:t>
      </w:r>
      <w:r w:rsidR="007A4F39">
        <w:t>,</w:t>
      </w:r>
      <w:r w:rsidR="00A37CAC">
        <w:t xml:space="preserve"> </w:t>
      </w:r>
      <w:r w:rsidR="00F50ECE">
        <w:t>the project’s rating may be determined by its</w:t>
      </w:r>
      <w:r w:rsidR="004A523D">
        <w:t xml:space="preserve"> </w:t>
      </w:r>
      <w:r w:rsidR="005C714D">
        <w:t xml:space="preserve">evaluation in the </w:t>
      </w:r>
      <w:r w:rsidR="00F50ECE">
        <w:t>refinance</w:t>
      </w:r>
      <w:r w:rsidR="007C7E7F">
        <w:t xml:space="preserve"> phase</w:t>
      </w:r>
      <w:r w:rsidR="00EA0047">
        <w:t>.</w:t>
      </w:r>
      <w:r w:rsidR="0011056D">
        <w:t xml:space="preserve"> </w:t>
      </w:r>
      <w:r w:rsidR="00EA0047">
        <w:t xml:space="preserve"> </w:t>
      </w:r>
      <w:r w:rsidR="00141ACB">
        <w:t>O</w:t>
      </w:r>
      <w:r w:rsidR="00EA0047">
        <w:t xml:space="preserve">ther metrics </w:t>
      </w:r>
      <w:r w:rsidR="00141ACB">
        <w:t>such as Project Life Coverage Ratio</w:t>
      </w:r>
      <w:r w:rsidR="00141ACB" w:rsidRPr="002513F9">
        <w:t>, Debt/ EBIDTA, CFADS/ Debt</w:t>
      </w:r>
      <w:r w:rsidR="00141ACB">
        <w:t xml:space="preserve"> </w:t>
      </w:r>
      <w:r w:rsidR="007C7E7F">
        <w:t>that</w:t>
      </w:r>
      <w:r w:rsidR="00EA0047">
        <w:t xml:space="preserve"> help identify</w:t>
      </w:r>
      <w:r w:rsidR="00EE79A4">
        <w:t xml:space="preserve"> </w:t>
      </w:r>
      <w:r w:rsidR="00B37C16">
        <w:t xml:space="preserve">issues with the size of the leverage </w:t>
      </w:r>
      <w:r w:rsidR="007C7E7F">
        <w:t>are typically used to evaluate the refinance</w:t>
      </w:r>
      <w:r w:rsidR="006C223B">
        <w:t xml:space="preserve"> phase</w:t>
      </w:r>
      <w:r w:rsidR="00894EB4">
        <w:t xml:space="preserve"> of the project</w:t>
      </w:r>
      <w:r w:rsidR="00B37C16">
        <w:t xml:space="preserve">.  </w:t>
      </w:r>
      <w:r w:rsidR="006C223B">
        <w:t>However</w:t>
      </w:r>
      <w:r w:rsidR="001F0A6F">
        <w:t xml:space="preserve">, unless </w:t>
      </w:r>
      <w:r w:rsidR="00A27895">
        <w:t>the market environment is assumed to improve with time</w:t>
      </w:r>
      <w:r w:rsidR="00A76894">
        <w:t xml:space="preserve">, </w:t>
      </w:r>
      <w:r w:rsidR="00DF10D6">
        <w:t xml:space="preserve">high levels of leverage </w:t>
      </w:r>
      <w:r w:rsidR="004344C2">
        <w:t xml:space="preserve">at the end of the TLB </w:t>
      </w:r>
      <w:r w:rsidR="00385329">
        <w:t xml:space="preserve">phase </w:t>
      </w:r>
      <w:r w:rsidR="004344C2">
        <w:t xml:space="preserve">are likely to translate into low </w:t>
      </w:r>
      <w:r w:rsidR="00EC1CDF">
        <w:t>annual DSCRs</w:t>
      </w:r>
      <w:r w:rsidR="005C54B3">
        <w:t xml:space="preserve"> in the </w:t>
      </w:r>
      <w:r w:rsidR="00DB5888">
        <w:t>refinance phase</w:t>
      </w:r>
      <w:r w:rsidR="00C51746">
        <w:t>.</w:t>
      </w:r>
      <w:r w:rsidR="00B14EC4">
        <w:t xml:space="preserve"> </w:t>
      </w:r>
      <w:r w:rsidR="00284F31">
        <w:t xml:space="preserve"> </w:t>
      </w:r>
      <w:r w:rsidR="004344C2">
        <w:t xml:space="preserve">Hence, </w:t>
      </w:r>
      <w:r w:rsidR="007D7CBE">
        <w:t>for our analysis</w:t>
      </w:r>
      <w:r w:rsidR="00B506FB">
        <w:t xml:space="preserve"> which looks at a time period shorter than the</w:t>
      </w:r>
      <w:r w:rsidR="005A01C0">
        <w:t xml:space="preserve"> full</w:t>
      </w:r>
      <w:r w:rsidR="00B506FB">
        <w:t xml:space="preserve"> term of </w:t>
      </w:r>
      <w:r w:rsidR="000D17AA">
        <w:t xml:space="preserve">typical </w:t>
      </w:r>
      <w:r w:rsidR="005A01C0">
        <w:t>TLB</w:t>
      </w:r>
      <w:r w:rsidR="000D17AA">
        <w:t xml:space="preserve"> debt</w:t>
      </w:r>
      <w:r w:rsidR="007D7CBE">
        <w:t xml:space="preserve">, </w:t>
      </w:r>
      <w:r w:rsidR="003947AC">
        <w:t xml:space="preserve">the </w:t>
      </w:r>
      <w:r w:rsidR="004344C2">
        <w:t>DSCR</w:t>
      </w:r>
      <w:r w:rsidR="003947AC">
        <w:t>-based guidance for fully amortizing loans</w:t>
      </w:r>
      <w:r w:rsidR="00EC1CDF">
        <w:t xml:space="preserve"> </w:t>
      </w:r>
      <w:r w:rsidR="00C40F83">
        <w:t>provide</w:t>
      </w:r>
      <w:r w:rsidR="00472B3E">
        <w:t>s</w:t>
      </w:r>
      <w:r w:rsidR="00C40F83">
        <w:t xml:space="preserve"> </w:t>
      </w:r>
      <w:r w:rsidR="003947AC">
        <w:t xml:space="preserve">a reasonable basis for </w:t>
      </w:r>
      <w:r w:rsidR="002C0E60">
        <w:t xml:space="preserve">estimating </w:t>
      </w:r>
      <w:r w:rsidR="00472B3E">
        <w:t xml:space="preserve">how changes in volatility would affect </w:t>
      </w:r>
      <w:r w:rsidR="004344C2">
        <w:t>the project’s debt rating</w:t>
      </w:r>
      <w:r w:rsidR="00E55DB9">
        <w:t>.</w:t>
      </w:r>
    </w:p>
  </w:footnote>
  <w:footnote w:id="12">
    <w:p w14:paraId="315EF2B4" w14:textId="272829F1" w:rsidR="001832A7" w:rsidRDefault="001832A7" w:rsidP="00691D7F">
      <w:pPr>
        <w:pStyle w:val="rptmainbodyfootnotetext"/>
      </w:pPr>
      <w:r>
        <w:rPr>
          <w:rStyle w:val="FootnoteReference"/>
        </w:rPr>
        <w:footnoteRef/>
      </w:r>
      <w:r>
        <w:t xml:space="preserve"> </w:t>
      </w:r>
      <w:r>
        <w:tab/>
      </w:r>
      <w:r w:rsidR="00CC0316">
        <w:t xml:space="preserve">See </w:t>
      </w:r>
      <w:r w:rsidR="00F873BC">
        <w:t xml:space="preserve">table on </w:t>
      </w:r>
      <w:r w:rsidR="00F873BC" w:rsidRPr="00D212EA">
        <w:rPr>
          <w:i/>
          <w:iCs/>
        </w:rPr>
        <w:t xml:space="preserve">Indicative Rating Cases — </w:t>
      </w:r>
      <w:r w:rsidR="00F873BC" w:rsidRPr="0035288D">
        <w:rPr>
          <w:i/>
        </w:rPr>
        <w:t xml:space="preserve">Thermal </w:t>
      </w:r>
      <w:r w:rsidR="00F873BC" w:rsidRPr="00D212EA">
        <w:rPr>
          <w:i/>
          <w:iCs/>
        </w:rPr>
        <w:t>Projects</w:t>
      </w:r>
      <w:r w:rsidR="00F873BC">
        <w:t xml:space="preserve"> on page 10 of </w:t>
      </w:r>
      <w:r w:rsidR="00CC0316">
        <w:t xml:space="preserve">Fitch Ratings’ </w:t>
      </w:r>
      <w:r w:rsidR="00CC0316" w:rsidRPr="008E60ED">
        <w:rPr>
          <w:i/>
          <w:iCs/>
        </w:rPr>
        <w:t>Thermal Power Project Rating Criteria</w:t>
      </w:r>
      <w:r w:rsidR="00CC0316">
        <w:t xml:space="preserve"> published in June 2021.</w:t>
      </w:r>
      <w:r w:rsidR="00F873BC">
        <w:t xml:space="preserve">  </w:t>
      </w:r>
      <w:r w:rsidR="00082A3F" w:rsidRPr="00082A3F">
        <w:t xml:space="preserve">See </w:t>
      </w:r>
      <w:r w:rsidR="00082A3F" w:rsidRPr="00D212EA">
        <w:rPr>
          <w:i/>
          <w:iCs/>
        </w:rPr>
        <w:t>Table 4 - Market Exposure: Market Downside Case Guidance For Power Projects</w:t>
      </w:r>
      <w:r w:rsidR="00082A3F" w:rsidRPr="00082A3F">
        <w:t xml:space="preserve"> and </w:t>
      </w:r>
      <w:r w:rsidR="00082A3F" w:rsidRPr="00D212EA">
        <w:rPr>
          <w:i/>
          <w:iCs/>
        </w:rPr>
        <w:t>Table 8 - Power Projects: Standard &amp; Poor's Downside Case Assumptions Guidance</w:t>
      </w:r>
      <w:r w:rsidR="00082A3F" w:rsidRPr="00082A3F">
        <w:t>, Standard &amp;</w:t>
      </w:r>
      <w:r w:rsidR="00920ECA">
        <w:t xml:space="preserve"> </w:t>
      </w:r>
      <w:r w:rsidR="00082A3F" w:rsidRPr="00082A3F">
        <w:t xml:space="preserve">Poor’s </w:t>
      </w:r>
      <w:r w:rsidR="00082A3F" w:rsidRPr="00D212EA">
        <w:rPr>
          <w:i/>
          <w:iCs/>
        </w:rPr>
        <w:t>Project Finance: Key Credit Factors For Power Project Financings</w:t>
      </w:r>
      <w:r w:rsidR="00082A3F" w:rsidRPr="00082A3F">
        <w:t xml:space="preserve"> published on September 16, 2014.</w:t>
      </w:r>
    </w:p>
  </w:footnote>
  <w:footnote w:id="13">
    <w:p w14:paraId="56B8930E" w14:textId="1097624A" w:rsidR="001E754F" w:rsidRDefault="001E754F" w:rsidP="00691D7F">
      <w:pPr>
        <w:pStyle w:val="rptmainbodyfootnotetext"/>
      </w:pPr>
      <w:r>
        <w:rPr>
          <w:rStyle w:val="FootnoteReference"/>
        </w:rPr>
        <w:footnoteRef/>
      </w:r>
      <w:r>
        <w:t xml:space="preserve"> </w:t>
      </w:r>
      <w:r>
        <w:tab/>
      </w:r>
      <w:r w:rsidR="00785021">
        <w:t xml:space="preserve">See </w:t>
      </w:r>
      <w:r w:rsidR="00565E8C" w:rsidRPr="00691D7F">
        <w:rPr>
          <w:i/>
          <w:iCs/>
        </w:rPr>
        <w:t>Financial Assumptions.xlsx</w:t>
      </w:r>
      <w:r w:rsidR="00565E8C" w:rsidRPr="00565E8C">
        <w:t xml:space="preserve"> </w:t>
      </w:r>
      <w:r w:rsidR="00565E8C">
        <w:t xml:space="preserve">file in the </w:t>
      </w:r>
      <w:r w:rsidR="00A47507" w:rsidRPr="00691D7F">
        <w:rPr>
          <w:i/>
          <w:iCs/>
        </w:rPr>
        <w:t>Inputs</w:t>
      </w:r>
      <w:r w:rsidR="00A47507">
        <w:t xml:space="preserve"> folder</w:t>
      </w:r>
      <w:r w:rsidR="000312BA">
        <w:t xml:space="preserve"> for data on bond yields</w:t>
      </w:r>
      <w:r w:rsidR="00A47507">
        <w:t>.</w:t>
      </w:r>
    </w:p>
  </w:footnote>
  <w:footnote w:id="14">
    <w:p w14:paraId="494F84C8" w14:textId="0A307A6C" w:rsidR="006545F1" w:rsidRDefault="006545F1">
      <w:pPr>
        <w:pStyle w:val="FootnoteText"/>
      </w:pPr>
      <w:r>
        <w:rPr>
          <w:rStyle w:val="FootnoteReference"/>
        </w:rPr>
        <w:footnoteRef/>
      </w:r>
      <w:r>
        <w:t xml:space="preserve"> </w:t>
      </w:r>
      <w:r>
        <w:tab/>
      </w:r>
      <w:r w:rsidR="003640E2" w:rsidRPr="003640E2">
        <w:t xml:space="preserve">See </w:t>
      </w:r>
      <w:r w:rsidR="003640E2" w:rsidRPr="00D212EA">
        <w:rPr>
          <w:i/>
        </w:rPr>
        <w:t>Financial Assumptions.xlsx</w:t>
      </w:r>
      <w:r w:rsidR="003640E2" w:rsidRPr="003640E2">
        <w:t xml:space="preserve"> file in the Inputs folder for data on bond yields.</w:t>
      </w:r>
    </w:p>
  </w:footnote>
  <w:footnote w:id="15">
    <w:p w14:paraId="3807B1D6" w14:textId="4ADDC1B7" w:rsidR="00882A62" w:rsidRDefault="00882A62" w:rsidP="00691D7F">
      <w:pPr>
        <w:pStyle w:val="rptmainbodyfootnotetext"/>
      </w:pPr>
      <w:r>
        <w:rPr>
          <w:rStyle w:val="FootnoteReference"/>
        </w:rPr>
        <w:footnoteRef/>
      </w:r>
      <w:r>
        <w:t xml:space="preserve"> </w:t>
      </w:r>
      <w:r>
        <w:tab/>
      </w:r>
      <w:r w:rsidRPr="00882A62">
        <w:t xml:space="preserve">Given our assumptions about the </w:t>
      </w:r>
      <w:r w:rsidR="00275CA1">
        <w:t xml:space="preserve">capacity supply </w:t>
      </w:r>
      <w:r>
        <w:t>offers</w:t>
      </w:r>
      <w:r w:rsidRPr="00882A62">
        <w:t xml:space="preserve"> </w:t>
      </w:r>
      <w:r w:rsidR="00275CA1">
        <w:t>from existing units</w:t>
      </w:r>
      <w:r w:rsidRPr="00882A62">
        <w:t xml:space="preserve">, the revenue in each Monte Carlo realization should be interpreted as the average over </w:t>
      </w:r>
      <w:r w:rsidR="00B932FA">
        <w:t>three</w:t>
      </w:r>
      <w:r w:rsidR="00B932FA" w:rsidRPr="00882A62">
        <w:t xml:space="preserve"> </w:t>
      </w:r>
      <w:r w:rsidRPr="00882A62">
        <w:t>years.</w:t>
      </w:r>
    </w:p>
  </w:footnote>
  <w:footnote w:id="16">
    <w:p w14:paraId="047EAE17" w14:textId="36F6DF67" w:rsidR="00BF6CCB" w:rsidRDefault="00BF6CCB" w:rsidP="00484E2F">
      <w:pPr>
        <w:pStyle w:val="rptmainbodyfootnotetext"/>
      </w:pPr>
      <w:r>
        <w:rPr>
          <w:rStyle w:val="FootnoteReference"/>
        </w:rPr>
        <w:footnoteRef/>
      </w:r>
      <w:r>
        <w:t xml:space="preserve"> </w:t>
      </w:r>
      <w:r>
        <w:tab/>
        <w:t xml:space="preserve">See section </w:t>
      </w:r>
      <w:r w:rsidR="008B6A5F">
        <w:fldChar w:fldCharType="begin"/>
      </w:r>
      <w:r w:rsidR="008B6A5F">
        <w:instrText xml:space="preserve"> REF _Ref84237667 \r \h </w:instrText>
      </w:r>
      <w:r w:rsidR="008B6A5F">
        <w:fldChar w:fldCharType="separate"/>
      </w:r>
      <w:r w:rsidR="008B6A5F">
        <w:t>IV</w:t>
      </w:r>
      <w:r w:rsidR="008B6A5F">
        <w:fldChar w:fldCharType="end"/>
      </w:r>
      <w:r>
        <w:t xml:space="preserve"> for a discussion of the values assumed for each of these variables.</w:t>
      </w:r>
    </w:p>
  </w:footnote>
  <w:footnote w:id="17">
    <w:p w14:paraId="2D98DC58" w14:textId="06070F60" w:rsidR="002B15B0" w:rsidRDefault="002B15B0" w:rsidP="00484E2F">
      <w:pPr>
        <w:pStyle w:val="rptmainbodyfootnotetext"/>
      </w:pPr>
      <w:r>
        <w:rPr>
          <w:rStyle w:val="FootnoteReference"/>
        </w:rPr>
        <w:footnoteRef/>
      </w:r>
      <w:r>
        <w:t xml:space="preserve"> </w:t>
      </w:r>
      <w:r>
        <w:tab/>
      </w:r>
      <w:r w:rsidRPr="002B15B0">
        <w:t>We assume the COE and COD in the MOPR case to equal the values developed in the most recent CONE study.</w:t>
      </w:r>
    </w:p>
  </w:footnote>
  <w:footnote w:id="18">
    <w:p w14:paraId="3920BD27" w14:textId="37E54823" w:rsidR="004733DA" w:rsidRDefault="004733DA" w:rsidP="00484E2F">
      <w:pPr>
        <w:pStyle w:val="rptmainbodyfootnotetext"/>
      </w:pPr>
      <w:r>
        <w:rPr>
          <w:rStyle w:val="FootnoteReference"/>
        </w:rPr>
        <w:footnoteRef/>
      </w:r>
      <w:r>
        <w:t xml:space="preserve"> </w:t>
      </w:r>
      <w:r>
        <w:tab/>
      </w:r>
      <w:r>
        <w:rPr>
          <w:lang w:eastAsia="zh-CN"/>
        </w:rPr>
        <w:t>We estimate the power market risk component to be 300 basis points</w:t>
      </w:r>
      <w:r w:rsidR="004175D4">
        <w:rPr>
          <w:lang w:eastAsia="zh-CN"/>
        </w:rPr>
        <w:t xml:space="preserve">.  </w:t>
      </w:r>
      <w:r w:rsidR="004175D4" w:rsidRPr="004175D4">
        <w:rPr>
          <w:lang w:eastAsia="zh-CN"/>
        </w:rPr>
        <w:t xml:space="preserve">See </w:t>
      </w:r>
      <w:r w:rsidR="004175D4" w:rsidRPr="00691D7F">
        <w:rPr>
          <w:i/>
          <w:iCs/>
          <w:lang w:eastAsia="zh-CN"/>
        </w:rPr>
        <w:t>Financial Assumptions.xlsx</w:t>
      </w:r>
      <w:r w:rsidR="004175D4" w:rsidRPr="004175D4">
        <w:rPr>
          <w:lang w:eastAsia="zh-CN"/>
        </w:rPr>
        <w:t xml:space="preserve"> file in the </w:t>
      </w:r>
      <w:r w:rsidR="004175D4" w:rsidRPr="00691D7F">
        <w:rPr>
          <w:i/>
          <w:iCs/>
          <w:lang w:eastAsia="zh-CN"/>
        </w:rPr>
        <w:t>Inputs</w:t>
      </w:r>
      <w:r w:rsidR="004175D4" w:rsidRPr="004175D4">
        <w:rPr>
          <w:lang w:eastAsia="zh-CN"/>
        </w:rPr>
        <w:t xml:space="preserve"> folder for</w:t>
      </w:r>
      <w:r w:rsidR="00EF6B2E">
        <w:rPr>
          <w:lang w:eastAsia="zh-CN"/>
        </w:rPr>
        <w:t xml:space="preserve"> the inputs and calculations underlying the assumed power market risk component</w:t>
      </w:r>
      <w:r w:rsidR="004175D4" w:rsidRPr="004175D4">
        <w:rPr>
          <w:lang w:eastAsia="zh-CN"/>
        </w:rPr>
        <w:t>.</w:t>
      </w:r>
    </w:p>
  </w:footnote>
  <w:footnote w:id="19">
    <w:p w14:paraId="1B04783E" w14:textId="385D680A" w:rsidR="00E41C74" w:rsidRDefault="00E41C74" w:rsidP="00E41C74">
      <w:pPr>
        <w:pStyle w:val="rptmainbodyfootnotetext"/>
      </w:pPr>
      <w:r>
        <w:rPr>
          <w:rStyle w:val="FootnoteReference"/>
        </w:rPr>
        <w:footnoteRef/>
      </w:r>
      <w:r>
        <w:t xml:space="preserve"> </w:t>
      </w:r>
      <w:r>
        <w:tab/>
      </w:r>
      <w:r w:rsidRPr="001E510A">
        <w:t xml:space="preserve">In determining the COD at various leverage levels, we constrain the rating in the No MOPR case to BB.  This is consistent with the guidance from S&amp;P and Fitch Ratings which cap the debt rating in the B+ to BB+ range because of (a) limited historical data, and (b) high market uncertainty and larger difference between the expected and downside conditions. </w:t>
      </w:r>
      <w:r>
        <w:t xml:space="preserve"> </w:t>
      </w:r>
      <w:r w:rsidR="004759E7">
        <w:t xml:space="preserve">See </w:t>
      </w:r>
      <w:r w:rsidR="003C743F">
        <w:t xml:space="preserve">discussion on page 11 of Fitch Ratings’ </w:t>
      </w:r>
      <w:r w:rsidR="003C743F" w:rsidRPr="008E60ED">
        <w:rPr>
          <w:i/>
          <w:iCs/>
        </w:rPr>
        <w:t>Thermal Power Project Rating Criteria</w:t>
      </w:r>
      <w:r w:rsidR="003C743F">
        <w:t xml:space="preserve"> published in June 2021. </w:t>
      </w:r>
      <w:r w:rsidR="00CE2FF9">
        <w:t xml:space="preserve"> See </w:t>
      </w:r>
      <w:r w:rsidR="00662984">
        <w:t xml:space="preserve">pp. 85-95 </w:t>
      </w:r>
      <w:r w:rsidR="00E90AFB">
        <w:t xml:space="preserve">of </w:t>
      </w:r>
      <w:r w:rsidR="00E90AFB">
        <w:rPr>
          <w:bCs/>
        </w:rPr>
        <w:t xml:space="preserve">Standard &amp;Poor’s </w:t>
      </w:r>
      <w:r w:rsidR="00E90AFB">
        <w:rPr>
          <w:bCs/>
          <w:i/>
          <w:iCs/>
        </w:rPr>
        <w:t xml:space="preserve">Project Finance: </w:t>
      </w:r>
      <w:r w:rsidR="00E90AFB" w:rsidRPr="00C32264">
        <w:rPr>
          <w:bCs/>
          <w:i/>
          <w:iCs/>
        </w:rPr>
        <w:t>Project Finance Operations Methodology</w:t>
      </w:r>
      <w:r w:rsidR="00E90AFB">
        <w:rPr>
          <w:bCs/>
          <w:i/>
          <w:iCs/>
        </w:rPr>
        <w:t xml:space="preserve"> </w:t>
      </w:r>
      <w:r w:rsidR="00E90AFB">
        <w:rPr>
          <w:bCs/>
        </w:rPr>
        <w:t>published on September 16, 2014.</w:t>
      </w:r>
    </w:p>
  </w:footnote>
  <w:footnote w:id="20">
    <w:p w14:paraId="1CCE1725" w14:textId="60FD215E" w:rsidR="00BE03E8" w:rsidRDefault="00BE03E8" w:rsidP="00484E2F">
      <w:pPr>
        <w:pStyle w:val="rptmainbodyfootnotetext"/>
      </w:pPr>
      <w:r w:rsidRPr="006A3756">
        <w:rPr>
          <w:rStyle w:val="FootnoteReference"/>
        </w:rPr>
        <w:footnoteRef/>
      </w:r>
      <w:r w:rsidRPr="006A3756">
        <w:t xml:space="preserve"> </w:t>
      </w:r>
      <w:r w:rsidRPr="006A3756">
        <w:tab/>
      </w:r>
      <w:r w:rsidR="00E170BC" w:rsidRPr="006A3756">
        <w:t>We utilize the extended Hamada equation (or the Conine equation) to character</w:t>
      </w:r>
      <w:r w:rsidR="00770DF7" w:rsidRPr="006A3756">
        <w:t>ize this relationship.</w:t>
      </w:r>
    </w:p>
    <w:p w14:paraId="1D31D4CA" w14:textId="77777777" w:rsidR="008A6BBF" w:rsidRPr="00D212EA" w:rsidRDefault="008A6BBF" w:rsidP="00D212EA">
      <w:pPr>
        <w:pStyle w:val="rptmainbodyfootnotetext"/>
        <w:jc w:val="center"/>
        <w:rPr>
          <w:i/>
          <w:lang w:val="es-MX"/>
        </w:rPr>
      </w:pPr>
      <w:r w:rsidRPr="00D212EA">
        <w:rPr>
          <w:i/>
        </w:rPr>
        <w:t>β</w:t>
      </w:r>
      <w:r w:rsidRPr="00D212EA">
        <w:rPr>
          <w:i/>
          <w:vertAlign w:val="subscript"/>
          <w:lang w:val="es-MX"/>
        </w:rPr>
        <w:t>L</w:t>
      </w:r>
      <w:r w:rsidRPr="00D212EA">
        <w:rPr>
          <w:i/>
          <w:lang w:val="es-MX"/>
        </w:rPr>
        <w:t xml:space="preserve"> = </w:t>
      </w:r>
      <w:r w:rsidRPr="00D212EA">
        <w:rPr>
          <w:i/>
        </w:rPr>
        <w:t>β</w:t>
      </w:r>
      <w:r w:rsidRPr="00D212EA">
        <w:rPr>
          <w:i/>
          <w:vertAlign w:val="subscript"/>
          <w:lang w:val="es-MX"/>
        </w:rPr>
        <w:t>U</w:t>
      </w:r>
      <w:r w:rsidRPr="00D212EA">
        <w:rPr>
          <w:i/>
          <w:lang w:val="es-MX"/>
        </w:rPr>
        <w:t xml:space="preserve"> x (1 + (1-T) * (D/E)) - </w:t>
      </w:r>
      <w:r w:rsidRPr="00D212EA">
        <w:rPr>
          <w:i/>
        </w:rPr>
        <w:t>β</w:t>
      </w:r>
      <w:r w:rsidRPr="00D212EA">
        <w:rPr>
          <w:i/>
          <w:vertAlign w:val="subscript"/>
          <w:lang w:val="es-MX"/>
        </w:rPr>
        <w:t>D</w:t>
      </w:r>
      <w:r w:rsidRPr="00D212EA">
        <w:rPr>
          <w:i/>
          <w:lang w:val="es-MX"/>
        </w:rPr>
        <w:t xml:space="preserve"> x (1-T) x (D/E)</w:t>
      </w:r>
    </w:p>
    <w:p w14:paraId="1BBCFA47" w14:textId="77777777" w:rsidR="008A6BBF" w:rsidRPr="008A6BBF" w:rsidRDefault="008A6BBF" w:rsidP="00D212EA">
      <w:pPr>
        <w:pStyle w:val="rptmainbodyfootnotetext"/>
        <w:ind w:left="1440"/>
      </w:pPr>
      <w:r w:rsidRPr="008A6BBF">
        <w:t>Where:</w:t>
      </w:r>
    </w:p>
    <w:p w14:paraId="3BDA2A0E" w14:textId="77777777" w:rsidR="008A6BBF" w:rsidRPr="008A6BBF" w:rsidRDefault="008A6BBF" w:rsidP="00D212EA">
      <w:pPr>
        <w:pStyle w:val="rptmainbodyfootnotetext"/>
        <w:ind w:left="1440"/>
      </w:pPr>
      <w:r w:rsidRPr="00D212EA">
        <w:rPr>
          <w:i/>
        </w:rPr>
        <w:t>β</w:t>
      </w:r>
      <w:r w:rsidRPr="00D212EA">
        <w:rPr>
          <w:i/>
          <w:vertAlign w:val="subscript"/>
        </w:rPr>
        <w:t>L</w:t>
      </w:r>
      <w:r w:rsidRPr="008A6BBF">
        <w:t xml:space="preserve"> – levered equity β</w:t>
      </w:r>
    </w:p>
    <w:p w14:paraId="3B8C3C62" w14:textId="77777777" w:rsidR="008A6BBF" w:rsidRPr="008A6BBF" w:rsidRDefault="008A6BBF" w:rsidP="00D212EA">
      <w:pPr>
        <w:pStyle w:val="rptmainbodyfootnotetext"/>
        <w:ind w:left="1440"/>
      </w:pPr>
      <w:r w:rsidRPr="00D212EA">
        <w:rPr>
          <w:i/>
        </w:rPr>
        <w:t>β</w:t>
      </w:r>
      <w:r w:rsidRPr="00D212EA">
        <w:rPr>
          <w:i/>
          <w:vertAlign w:val="subscript"/>
        </w:rPr>
        <w:t>U</w:t>
      </w:r>
      <w:r w:rsidRPr="008A6BBF">
        <w:t xml:space="preserve"> – unlevered equity β</w:t>
      </w:r>
    </w:p>
    <w:p w14:paraId="0DF53CF1" w14:textId="77777777" w:rsidR="008A6BBF" w:rsidRPr="008A6BBF" w:rsidRDefault="008A6BBF" w:rsidP="00D212EA">
      <w:pPr>
        <w:pStyle w:val="rptmainbodyfootnotetext"/>
        <w:ind w:left="1440"/>
      </w:pPr>
      <w:r w:rsidRPr="00D212EA">
        <w:rPr>
          <w:i/>
        </w:rPr>
        <w:t>β</w:t>
      </w:r>
      <w:r w:rsidRPr="00D212EA">
        <w:rPr>
          <w:i/>
          <w:vertAlign w:val="subscript"/>
        </w:rPr>
        <w:t>D</w:t>
      </w:r>
      <w:r w:rsidRPr="008A6BBF">
        <w:t xml:space="preserve"> – β of debt</w:t>
      </w:r>
    </w:p>
    <w:p w14:paraId="142FAC04" w14:textId="77777777" w:rsidR="008A6BBF" w:rsidRPr="008A6BBF" w:rsidRDefault="008A6BBF" w:rsidP="00D212EA">
      <w:pPr>
        <w:pStyle w:val="rptmainbodyfootnotetext"/>
        <w:ind w:left="1440"/>
      </w:pPr>
      <w:r w:rsidRPr="00D212EA">
        <w:rPr>
          <w:i/>
        </w:rPr>
        <w:t>T</w:t>
      </w:r>
      <w:r w:rsidRPr="008A6BBF">
        <w:t xml:space="preserve"> – tax rate</w:t>
      </w:r>
    </w:p>
    <w:p w14:paraId="0F1BD0FA" w14:textId="03E6CD5B" w:rsidR="008A6BBF" w:rsidRPr="006A3756" w:rsidRDefault="008A6BBF" w:rsidP="00D212EA">
      <w:pPr>
        <w:pStyle w:val="rptmainbodyfootnotetext"/>
        <w:ind w:left="1440"/>
      </w:pPr>
      <w:r w:rsidRPr="00D212EA">
        <w:rPr>
          <w:i/>
        </w:rPr>
        <w:t>D/E</w:t>
      </w:r>
      <w:r w:rsidRPr="008A6BBF">
        <w:t xml:space="preserve"> – debt-to-equity ratio</w:t>
      </w:r>
    </w:p>
  </w:footnote>
  <w:footnote w:id="21">
    <w:p w14:paraId="46858C01" w14:textId="02F797CC" w:rsidR="00E170BC" w:rsidRDefault="00E170BC" w:rsidP="00484E2F">
      <w:pPr>
        <w:pStyle w:val="rptmainbodyfootnotetext"/>
      </w:pPr>
      <w:r w:rsidRPr="006A3756">
        <w:rPr>
          <w:rStyle w:val="FootnoteReference"/>
        </w:rPr>
        <w:footnoteRef/>
      </w:r>
      <w:r w:rsidRPr="006A3756">
        <w:t xml:space="preserve"> </w:t>
      </w:r>
      <w:r w:rsidRPr="006A3756">
        <w:tab/>
      </w:r>
      <w:r w:rsidR="006A3756" w:rsidRPr="006A3756">
        <w:rPr>
          <w:i/>
          <w:iCs/>
        </w:rPr>
        <w:t>Id.</w:t>
      </w:r>
    </w:p>
  </w:footnote>
  <w:footnote w:id="22">
    <w:p w14:paraId="6C70E60A" w14:textId="77777777" w:rsidR="003F138B" w:rsidRDefault="003F138B" w:rsidP="003F138B">
      <w:pPr>
        <w:pStyle w:val="rptmainbodyfootnotetext"/>
      </w:pPr>
      <w:r w:rsidRPr="006A3756">
        <w:rPr>
          <w:rStyle w:val="FootnoteReference"/>
        </w:rPr>
        <w:footnoteRef/>
      </w:r>
      <w:r w:rsidRPr="006A3756">
        <w:t xml:space="preserve"> </w:t>
      </w:r>
      <w:r w:rsidRPr="006A3756">
        <w:tab/>
      </w:r>
      <w:r>
        <w:t>While the term “volatility” is colloquially used to describe the up-and-down movement in prices, throughout this report, we use the term as it is defined in financial market theory as a measure of the uncertainty faced by financial market participants.</w:t>
      </w:r>
    </w:p>
  </w:footnote>
  <w:footnote w:id="23">
    <w:p w14:paraId="153B64D6" w14:textId="1C5D62E4" w:rsidR="00F678CF" w:rsidRDefault="00F678CF" w:rsidP="00816925">
      <w:pPr>
        <w:pStyle w:val="rptmainbodyfootnotetext"/>
      </w:pPr>
      <w:r w:rsidRPr="003F4ADE">
        <w:rPr>
          <w:rStyle w:val="FootnoteReference"/>
        </w:rPr>
        <w:footnoteRef/>
      </w:r>
      <w:r w:rsidRPr="003F4ADE">
        <w:t xml:space="preserve"> </w:t>
      </w:r>
      <w:r w:rsidRPr="003F4ADE">
        <w:tab/>
        <w:t xml:space="preserve">For instance, some policies </w:t>
      </w:r>
      <w:r w:rsidR="00BD3066">
        <w:t>allow flexibility</w:t>
      </w:r>
      <w:r w:rsidRPr="003F4ADE">
        <w:t xml:space="preserve"> </w:t>
      </w:r>
      <w:r w:rsidR="003A7F53">
        <w:t>regarding</w:t>
      </w:r>
      <w:r w:rsidRPr="003F4ADE">
        <w:t xml:space="preserve"> the target technology (e.g., whether the policy will focus on solar or wind to achieve certain targets).  Furthermore, some states have made slower than expected progress toward stated policy goals (e.g., a project originally contracted with a utility to enter in 2024 might not enter the market until 202</w:t>
      </w:r>
      <w:r w:rsidR="002B2CDE">
        <w:t>6</w:t>
      </w:r>
      <w:r w:rsidRPr="003F4ADE">
        <w:t>)</w:t>
      </w:r>
      <w:r w:rsidR="003A7F53">
        <w:t>.</w:t>
      </w:r>
    </w:p>
  </w:footnote>
  <w:footnote w:id="24">
    <w:p w14:paraId="313B065A" w14:textId="6DC67E2C" w:rsidR="00D22D67" w:rsidRDefault="00D22D67" w:rsidP="00AD1628">
      <w:pPr>
        <w:pStyle w:val="rptmainbodyfootnotetext"/>
      </w:pPr>
      <w:r>
        <w:rPr>
          <w:rStyle w:val="FootnoteReference"/>
        </w:rPr>
        <w:footnoteRef/>
      </w:r>
      <w:r>
        <w:t xml:space="preserve"> </w:t>
      </w:r>
      <w:r>
        <w:tab/>
        <w:t>In addition to the discus</w:t>
      </w:r>
      <w:r w:rsidR="009E46C7">
        <w:t>sion</w:t>
      </w:r>
      <w:r>
        <w:t xml:space="preserve"> in this </w:t>
      </w:r>
      <w:r w:rsidR="009E46C7">
        <w:t>section</w:t>
      </w:r>
      <w:r>
        <w:t xml:space="preserve">, we posted </w:t>
      </w:r>
      <w:r w:rsidR="009E46C7">
        <w:t xml:space="preserve">a folder (labeled </w:t>
      </w:r>
      <w:r w:rsidR="009E46C7" w:rsidRPr="00AD1628">
        <w:rPr>
          <w:i/>
          <w:iCs/>
        </w:rPr>
        <w:t>Inputs</w:t>
      </w:r>
      <w:r w:rsidR="009E46C7">
        <w:t xml:space="preserve">) with </w:t>
      </w:r>
      <w:r>
        <w:t xml:space="preserve">files containing </w:t>
      </w:r>
      <w:r w:rsidR="009E46C7">
        <w:t xml:space="preserve">various </w:t>
      </w:r>
      <w:r w:rsidR="008D1508">
        <w:t xml:space="preserve">inputs to the </w:t>
      </w:r>
      <w:r>
        <w:t>model.</w:t>
      </w:r>
    </w:p>
  </w:footnote>
  <w:footnote w:id="25">
    <w:p w14:paraId="74D6E422" w14:textId="783B3631" w:rsidR="00747227" w:rsidRDefault="00747227" w:rsidP="00747227">
      <w:pPr>
        <w:pStyle w:val="rptmainbodyfootnotetext"/>
      </w:pPr>
      <w:r>
        <w:rPr>
          <w:rStyle w:val="FootnoteReference"/>
        </w:rPr>
        <w:footnoteRef/>
      </w:r>
      <w:r>
        <w:t xml:space="preserve"> </w:t>
      </w:r>
      <w:r>
        <w:tab/>
      </w:r>
      <w:r w:rsidR="005C5777">
        <w:t xml:space="preserve">See </w:t>
      </w:r>
      <w:r w:rsidR="00CE5E99" w:rsidRPr="00D212EA">
        <w:rPr>
          <w:i/>
          <w:iCs/>
        </w:rPr>
        <w:t>Offers Summary.xlsx</w:t>
      </w:r>
      <w:r w:rsidR="00CE5E99" w:rsidRPr="00CE5E99">
        <w:t xml:space="preserve"> </w:t>
      </w:r>
      <w:r w:rsidR="00CE5E99">
        <w:t xml:space="preserve">file in the </w:t>
      </w:r>
      <w:r w:rsidR="00CE5E99" w:rsidRPr="00D212EA">
        <w:rPr>
          <w:i/>
          <w:iCs/>
        </w:rPr>
        <w:t>Inputs</w:t>
      </w:r>
      <w:r w:rsidR="00CE5E99">
        <w:t xml:space="preserve"> folder for our assumptions regarding offers from existing resources.</w:t>
      </w:r>
    </w:p>
  </w:footnote>
  <w:footnote w:id="26">
    <w:p w14:paraId="2C478772" w14:textId="4CCBB79A" w:rsidR="00FD640D" w:rsidRDefault="00FD640D" w:rsidP="007D2AC6">
      <w:pPr>
        <w:pStyle w:val="rptmainbodyfootnotetext"/>
      </w:pPr>
      <w:r>
        <w:rPr>
          <w:rStyle w:val="FootnoteReference"/>
        </w:rPr>
        <w:footnoteRef/>
      </w:r>
      <w:r>
        <w:t xml:space="preserve"> </w:t>
      </w:r>
      <w:r>
        <w:tab/>
        <w:t xml:space="preserve">Unless noted otherwise, all </w:t>
      </w:r>
      <w:r w:rsidR="0054715A">
        <w:t>offers, prices and revenues in this section are shown in 2030$.</w:t>
      </w:r>
    </w:p>
  </w:footnote>
  <w:footnote w:id="27">
    <w:p w14:paraId="2370B86F" w14:textId="4117B777" w:rsidR="00C60E66" w:rsidRDefault="00C60E66" w:rsidP="00C60E66">
      <w:pPr>
        <w:pStyle w:val="rptmainbodyfootnotetext"/>
      </w:pPr>
      <w:r>
        <w:rPr>
          <w:rStyle w:val="FootnoteReference"/>
        </w:rPr>
        <w:footnoteRef/>
      </w:r>
      <w:r>
        <w:t xml:space="preserve"> </w:t>
      </w:r>
      <w:r>
        <w:tab/>
        <w:t xml:space="preserve">See </w:t>
      </w:r>
      <w:r w:rsidRPr="00652AFD">
        <w:rPr>
          <w:i/>
          <w:iCs/>
        </w:rPr>
        <w:t>Offers Summary.xlsx</w:t>
      </w:r>
      <w:r w:rsidRPr="00CE5E99">
        <w:t xml:space="preserve"> </w:t>
      </w:r>
      <w:r>
        <w:t xml:space="preserve">file in the </w:t>
      </w:r>
      <w:r w:rsidRPr="00652AFD">
        <w:rPr>
          <w:i/>
          <w:iCs/>
        </w:rPr>
        <w:t>Inputs</w:t>
      </w:r>
      <w:r>
        <w:t xml:space="preserve"> folder for our assumptions regarding capacity supply offers from neighboring control areas.</w:t>
      </w:r>
    </w:p>
  </w:footnote>
  <w:footnote w:id="28">
    <w:p w14:paraId="6AECACA0" w14:textId="264DD386" w:rsidR="00284939" w:rsidRDefault="00284939" w:rsidP="00D212EA">
      <w:pPr>
        <w:pStyle w:val="rptmainbodyfootnotetext"/>
        <w:spacing w:after="0"/>
      </w:pPr>
      <w:r>
        <w:rPr>
          <w:rStyle w:val="FootnoteReference"/>
        </w:rPr>
        <w:footnoteRef/>
      </w:r>
      <w:r>
        <w:t xml:space="preserve"> </w:t>
      </w:r>
      <w:r>
        <w:tab/>
        <w:t xml:space="preserve">See </w:t>
      </w:r>
      <w:r w:rsidR="00B839B5" w:rsidRPr="00B839B5">
        <w:rPr>
          <w:i/>
          <w:iCs/>
        </w:rPr>
        <w:t>OSW Solar and ES MW Summary.xlsx</w:t>
      </w:r>
      <w:r w:rsidRPr="00CE5E99">
        <w:t xml:space="preserve"> </w:t>
      </w:r>
      <w:r>
        <w:t xml:space="preserve">file in the </w:t>
      </w:r>
      <w:r w:rsidRPr="00652AFD">
        <w:rPr>
          <w:i/>
          <w:iCs/>
        </w:rPr>
        <w:t>Inputs</w:t>
      </w:r>
      <w:r>
        <w:t xml:space="preserve"> folder for our assumptions </w:t>
      </w:r>
      <w:r w:rsidR="00D54F35">
        <w:t xml:space="preserve">(and their data sources) </w:t>
      </w:r>
      <w:r>
        <w:t xml:space="preserve">regarding </w:t>
      </w:r>
      <w:r w:rsidR="00156C72">
        <w:t>offshore wind capacity</w:t>
      </w:r>
      <w:r w:rsidR="0017388D">
        <w:t xml:space="preserve"> (nameplate and qualified)</w:t>
      </w:r>
      <w:r w:rsidR="00156C72">
        <w:t xml:space="preserve"> in each scenario</w:t>
      </w:r>
      <w:r>
        <w:t>.</w:t>
      </w:r>
    </w:p>
  </w:footnote>
  <w:footnote w:id="29">
    <w:p w14:paraId="14541460" w14:textId="09224321" w:rsidR="00D41B14" w:rsidRDefault="00D41B14" w:rsidP="007D2AC6">
      <w:pPr>
        <w:pStyle w:val="rptmainbodyfootnotetext"/>
      </w:pPr>
      <w:r>
        <w:rPr>
          <w:rStyle w:val="FootnoteReference"/>
        </w:rPr>
        <w:footnoteRef/>
      </w:r>
      <w:r>
        <w:t xml:space="preserve"> </w:t>
      </w:r>
      <w:r>
        <w:tab/>
        <w:t>The curve we relied on was</w:t>
      </w:r>
      <w:r w:rsidRPr="00D41B14">
        <w:t xml:space="preserve"> </w:t>
      </w:r>
      <w:r>
        <w:t>developed for</w:t>
      </w:r>
      <w:r w:rsidRPr="00D41B14">
        <w:t xml:space="preserve"> </w:t>
      </w:r>
      <w:r w:rsidR="0055693C">
        <w:t xml:space="preserve">the </w:t>
      </w:r>
      <w:r>
        <w:t>New York</w:t>
      </w:r>
      <w:r w:rsidR="0055693C">
        <w:t xml:space="preserve"> system</w:t>
      </w:r>
      <w:r w:rsidRPr="00D41B14">
        <w:t xml:space="preserve">, but </w:t>
      </w:r>
      <w:r w:rsidR="0055693C">
        <w:t xml:space="preserve">it </w:t>
      </w:r>
      <w:r w:rsidRPr="00D41B14">
        <w:t>consider</w:t>
      </w:r>
      <w:r w:rsidR="0055693C">
        <w:t>ed</w:t>
      </w:r>
      <w:r w:rsidRPr="00D41B14">
        <w:t xml:space="preserve"> comparable quantities of intermittent resources.</w:t>
      </w:r>
      <w:r w:rsidR="0055693C">
        <w:t xml:space="preserve">  See </w:t>
      </w:r>
      <w:r w:rsidR="00973CFF" w:rsidRPr="00973CFF">
        <w:t>The Brattle Group</w:t>
      </w:r>
      <w:r w:rsidR="00973CFF">
        <w:t>’s</w:t>
      </w:r>
      <w:r w:rsidR="00973CFF" w:rsidRPr="00973CFF">
        <w:t xml:space="preserve"> 2020</w:t>
      </w:r>
      <w:r w:rsidR="00973CFF">
        <w:t xml:space="preserve"> </w:t>
      </w:r>
      <w:hyperlink r:id="rId1" w:history="1">
        <w:r w:rsidR="00973CFF" w:rsidRPr="007B5E7D">
          <w:rPr>
            <w:rStyle w:val="Hyperlink"/>
          </w:rPr>
          <w:t>presentation</w:t>
        </w:r>
      </w:hyperlink>
      <w:r w:rsidR="00973CFF">
        <w:t xml:space="preserve"> on</w:t>
      </w:r>
      <w:r w:rsidR="00973CFF" w:rsidRPr="00973CFF">
        <w:t xml:space="preserve"> Quantitative Analysis of Resource Adequacy Structures</w:t>
      </w:r>
      <w:r w:rsidR="001B3163">
        <w:t>.</w:t>
      </w:r>
    </w:p>
  </w:footnote>
  <w:footnote w:id="30">
    <w:p w14:paraId="44B60BAC" w14:textId="77777777" w:rsidR="00583245" w:rsidRDefault="00583245" w:rsidP="00D212EA">
      <w:pPr>
        <w:pStyle w:val="rptmainbodyfootnotetext"/>
        <w:spacing w:after="0"/>
      </w:pPr>
      <w:r>
        <w:rPr>
          <w:rStyle w:val="FootnoteReference"/>
        </w:rPr>
        <w:footnoteRef/>
      </w:r>
      <w:r>
        <w:t xml:space="preserve"> </w:t>
      </w:r>
      <w:r>
        <w:tab/>
        <w:t xml:space="preserve">See </w:t>
      </w:r>
      <w:r w:rsidRPr="00B839B5">
        <w:rPr>
          <w:i/>
          <w:iCs/>
        </w:rPr>
        <w:t>OSW Solar and ES MW Summary.xlsx</w:t>
      </w:r>
      <w:r w:rsidRPr="00CE5E99">
        <w:t xml:space="preserve"> </w:t>
      </w:r>
      <w:r>
        <w:t xml:space="preserve">file in the </w:t>
      </w:r>
      <w:r w:rsidRPr="00652AFD">
        <w:rPr>
          <w:i/>
          <w:iCs/>
        </w:rPr>
        <w:t>Inputs</w:t>
      </w:r>
      <w:r>
        <w:t xml:space="preserve"> folder for our assumptions (and their data sources) regarding solar and energy storage resources capacity (nameplate and qualified) in each scenario.</w:t>
      </w:r>
    </w:p>
  </w:footnote>
  <w:footnote w:id="31">
    <w:p w14:paraId="0C6E4615" w14:textId="77777777" w:rsidR="00BF375D" w:rsidRDefault="0000113F">
      <w:pPr>
        <w:pStyle w:val="rptmainbodyfootnotetext"/>
      </w:pPr>
      <w:r>
        <w:rPr>
          <w:rStyle w:val="FootnoteReference"/>
        </w:rPr>
        <w:footnoteRef/>
      </w:r>
      <w:r>
        <w:t xml:space="preserve"> </w:t>
      </w:r>
      <w:r>
        <w:tab/>
      </w:r>
      <w:r w:rsidR="00142088" w:rsidRPr="00142088">
        <w:t>The ELCC curve for solar resources was derived from a 2020 Brattle Group study of the New York system.</w:t>
      </w:r>
      <w:r w:rsidR="002C3DF7">
        <w:t xml:space="preserve">  See </w:t>
      </w:r>
      <w:r w:rsidR="002C3DF7" w:rsidRPr="00973CFF">
        <w:t>The Brattle Group</w:t>
      </w:r>
      <w:r w:rsidR="002C3DF7">
        <w:t>’s</w:t>
      </w:r>
      <w:r w:rsidR="002C3DF7" w:rsidRPr="00973CFF">
        <w:t xml:space="preserve"> 2020</w:t>
      </w:r>
      <w:r w:rsidR="002C3DF7">
        <w:t xml:space="preserve"> </w:t>
      </w:r>
      <w:hyperlink r:id="rId2" w:history="1">
        <w:r w:rsidR="002C3DF7" w:rsidRPr="007B5E7D">
          <w:rPr>
            <w:rStyle w:val="Hyperlink"/>
          </w:rPr>
          <w:t>presentation</w:t>
        </w:r>
      </w:hyperlink>
      <w:r w:rsidR="002C3DF7">
        <w:t xml:space="preserve"> on</w:t>
      </w:r>
      <w:r w:rsidR="002C3DF7" w:rsidRPr="00973CFF">
        <w:t xml:space="preserve"> </w:t>
      </w:r>
      <w:r w:rsidR="002C3DF7" w:rsidRPr="00413EB1">
        <w:rPr>
          <w:i/>
          <w:iCs/>
        </w:rPr>
        <w:t>Quantitative Analysis of Resource Adequacy Structures</w:t>
      </w:r>
      <w:r w:rsidR="002C3DF7">
        <w:t xml:space="preserve">.  </w:t>
      </w:r>
    </w:p>
    <w:p w14:paraId="21C56B4B" w14:textId="0362A4F2" w:rsidR="0000113F" w:rsidRDefault="00BF375D" w:rsidP="00BF375D">
      <w:pPr>
        <w:pStyle w:val="rptmainbodyfootnotetext"/>
        <w:ind w:firstLine="0"/>
        <w:rPr>
          <w:i/>
          <w:iCs/>
        </w:rPr>
      </w:pPr>
      <w:r>
        <w:t xml:space="preserve">The </w:t>
      </w:r>
      <w:r w:rsidRPr="00B369FC">
        <w:t xml:space="preserve">ELCC </w:t>
      </w:r>
      <w:r>
        <w:t xml:space="preserve">of ES resources </w:t>
      </w:r>
      <w:r w:rsidRPr="00B369FC">
        <w:t xml:space="preserve">was adjusted to account for renewable resource penetration based on a 2019 study by NREL </w:t>
      </w:r>
      <w:r>
        <w:t xml:space="preserve">for ISO-NE.  </w:t>
      </w:r>
      <w:r w:rsidR="00640900">
        <w:t xml:space="preserve">See NREL’s 2019 </w:t>
      </w:r>
      <w:hyperlink r:id="rId3" w:history="1">
        <w:r w:rsidR="00640900" w:rsidRPr="00363F94">
          <w:rPr>
            <w:rStyle w:val="Hyperlink"/>
          </w:rPr>
          <w:t>report</w:t>
        </w:r>
      </w:hyperlink>
      <w:r w:rsidR="00640900">
        <w:t xml:space="preserve"> on </w:t>
      </w:r>
      <w:r w:rsidR="00640900" w:rsidRPr="00652AFD">
        <w:rPr>
          <w:i/>
          <w:iCs/>
        </w:rPr>
        <w:t>The Potential for Battery Energy Storage to Provide Peaking Capacity in the United States</w:t>
      </w:r>
      <w:r w:rsidR="00640900">
        <w:rPr>
          <w:i/>
          <w:iCs/>
        </w:rPr>
        <w:t>.</w:t>
      </w:r>
    </w:p>
    <w:p w14:paraId="5F643D8C" w14:textId="161BC995" w:rsidR="00640900" w:rsidRPr="003F4ADE" w:rsidRDefault="00640900" w:rsidP="00413EB1">
      <w:pPr>
        <w:pStyle w:val="rptmainbodyfootnotetext"/>
        <w:ind w:firstLine="0"/>
      </w:pPr>
      <w:r>
        <w:t>The s</w:t>
      </w:r>
      <w:r w:rsidRPr="00B369FC">
        <w:t>lope of ELCC curves for 2-hour and 4-hour storage resources were derived from a 2019 study by GE</w:t>
      </w:r>
      <w:r>
        <w:t xml:space="preserve"> for the New York system.  See </w:t>
      </w:r>
      <w:r w:rsidR="009643B4" w:rsidRPr="009643B4">
        <w:t>GE Energy Consulting</w:t>
      </w:r>
      <w:r w:rsidR="009643B4">
        <w:t>’s</w:t>
      </w:r>
      <w:r w:rsidR="009643B4" w:rsidRPr="009643B4">
        <w:t xml:space="preserve"> 2019</w:t>
      </w:r>
      <w:r w:rsidR="009643B4">
        <w:t xml:space="preserve"> </w:t>
      </w:r>
      <w:hyperlink r:id="rId4" w:history="1">
        <w:r w:rsidR="00EE1F44" w:rsidRPr="00EE1F44">
          <w:rPr>
            <w:rStyle w:val="Hyperlink"/>
          </w:rPr>
          <w:t>presentation</w:t>
        </w:r>
      </w:hyperlink>
      <w:r w:rsidR="009643B4">
        <w:t xml:space="preserve"> on </w:t>
      </w:r>
      <w:r w:rsidR="009643B4" w:rsidRPr="009643B4">
        <w:t>Valuing Capacity for Resources with Energy Limitations</w:t>
      </w:r>
    </w:p>
  </w:footnote>
  <w:footnote w:id="32">
    <w:p w14:paraId="191B8720" w14:textId="23B89DDF" w:rsidR="00F12D51" w:rsidRDefault="00F12D51" w:rsidP="00413EB1">
      <w:pPr>
        <w:pStyle w:val="rptmainbodyfootnotetext"/>
      </w:pPr>
      <w:r>
        <w:rPr>
          <w:rStyle w:val="FootnoteReference"/>
        </w:rPr>
        <w:footnoteRef/>
      </w:r>
      <w:r>
        <w:t xml:space="preserve"> </w:t>
      </w:r>
      <w:r>
        <w:tab/>
      </w:r>
      <w:r w:rsidR="00972CA9">
        <w:t xml:space="preserve">See NREL’s 2019 </w:t>
      </w:r>
      <w:hyperlink r:id="rId5" w:history="1">
        <w:r w:rsidR="00972CA9" w:rsidRPr="00363F94">
          <w:rPr>
            <w:rStyle w:val="Hyperlink"/>
          </w:rPr>
          <w:t>report</w:t>
        </w:r>
      </w:hyperlink>
      <w:r w:rsidR="00972CA9">
        <w:t xml:space="preserve"> on </w:t>
      </w:r>
      <w:r w:rsidR="00972CA9" w:rsidRPr="00413EB1">
        <w:rPr>
          <w:i/>
          <w:iCs/>
        </w:rPr>
        <w:t>The Potential for Battery Energy Storage to Provide Peaking Capacity in the United States</w:t>
      </w:r>
      <w:r w:rsidR="00972CA9">
        <w:rPr>
          <w:i/>
          <w:iCs/>
        </w:rPr>
        <w:t>.</w:t>
      </w:r>
    </w:p>
  </w:footnote>
  <w:footnote w:id="33">
    <w:p w14:paraId="110D6A93" w14:textId="5A275DED" w:rsidR="00835945" w:rsidRDefault="00835945" w:rsidP="00D11D7D">
      <w:pPr>
        <w:pStyle w:val="rptmainbodyfootnotetext"/>
      </w:pPr>
      <w:r>
        <w:rPr>
          <w:rStyle w:val="FootnoteReference"/>
        </w:rPr>
        <w:footnoteRef/>
      </w:r>
      <w:r>
        <w:t xml:space="preserve"> </w:t>
      </w:r>
      <w:r>
        <w:tab/>
      </w:r>
      <w:r w:rsidR="00690F79">
        <w:t xml:space="preserve">The revenue offset discussed in this subsection excludes </w:t>
      </w:r>
      <w:r w:rsidR="00DB244A">
        <w:t xml:space="preserve">EAS </w:t>
      </w:r>
      <w:r w:rsidR="00690F79">
        <w:rPr>
          <w:lang w:eastAsia="zh-CN"/>
        </w:rPr>
        <w:t xml:space="preserve">revenues during </w:t>
      </w:r>
      <w:r w:rsidR="00DB244A">
        <w:rPr>
          <w:lang w:eastAsia="zh-CN"/>
        </w:rPr>
        <w:t>shortage</w:t>
      </w:r>
      <w:r w:rsidR="00690F79">
        <w:rPr>
          <w:lang w:eastAsia="zh-CN"/>
        </w:rPr>
        <w:t xml:space="preserve"> events.</w:t>
      </w:r>
    </w:p>
  </w:footnote>
  <w:footnote w:id="34">
    <w:p w14:paraId="124D097A" w14:textId="77777777" w:rsidR="005972F5" w:rsidRDefault="005972F5" w:rsidP="005972F5">
      <w:pPr>
        <w:pStyle w:val="rptmainbodyfootnotetext"/>
      </w:pPr>
      <w:r>
        <w:rPr>
          <w:rStyle w:val="FootnoteReference"/>
        </w:rPr>
        <w:footnoteRef/>
      </w:r>
      <w:r>
        <w:t xml:space="preserve"> </w:t>
      </w:r>
      <w:r>
        <w:tab/>
        <w:t>The mean H used for our analysis differs from the value used in the CONE study.  While the CONE study uses the average H (11.3 hours) from the Capacity Commitment Periods for FCAs 11-15, we use the mean (summer) H (7.9 hours) from the study for only FCA-15.  Our choice was driven by the availability of data characterizing the relationship between H and the capacity surplus level.  Assuming a higher mean H that is closer to the H from the CONE study would not affect the average PFP revenues, since the PPR value would be lower.  Hence, the contribution of PFP revenues to the Net CONE of the reference unit is likely to be similar between the CONE study and our analysis.</w:t>
      </w:r>
    </w:p>
  </w:footnote>
  <w:footnote w:id="35">
    <w:p w14:paraId="30714C43" w14:textId="77777777" w:rsidR="005972F5" w:rsidRDefault="005972F5" w:rsidP="005972F5">
      <w:pPr>
        <w:pStyle w:val="rptmainbodyfootnotetext"/>
      </w:pPr>
      <w:r>
        <w:rPr>
          <w:rStyle w:val="FootnoteReference"/>
        </w:rPr>
        <w:footnoteRef/>
      </w:r>
      <w:r>
        <w:t xml:space="preserve"> </w:t>
      </w:r>
      <w:r>
        <w:tab/>
        <w:t>W</w:t>
      </w:r>
      <w:r w:rsidRPr="00E925BB">
        <w:t>e assume</w:t>
      </w:r>
      <w:r>
        <w:t>d that</w:t>
      </w:r>
      <w:r w:rsidRPr="00E925BB">
        <w:t xml:space="preserve"> existing capacity would be retained, if necessary, to satisfy a reliability standard</w:t>
      </w:r>
      <w:r>
        <w:t xml:space="preserve"> of </w:t>
      </w:r>
      <w:r w:rsidRPr="00E925BB">
        <w:t xml:space="preserve">1-day-in-5-year </w:t>
      </w:r>
      <w:r>
        <w:t>LOLE</w:t>
      </w:r>
      <w:r w:rsidRPr="00E925BB">
        <w:t>.</w:t>
      </w:r>
      <w:r>
        <w:t xml:space="preserve">  As a result, the shortfall in capacity (relative to the ICR) is limited to approximately negative 610 MW.  This assumption bounds the H value, but it does not affect the capacity prices because the maximum price for the FCA is consistent with the capacity surplus level at which the LOLE is </w:t>
      </w:r>
      <w:r w:rsidRPr="00E925BB">
        <w:t>1-day-in-5-year</w:t>
      </w:r>
      <w:r>
        <w:t>s.</w:t>
      </w:r>
    </w:p>
  </w:footnote>
  <w:footnote w:id="36">
    <w:p w14:paraId="7452EE09" w14:textId="63F441E3" w:rsidR="009C0D84" w:rsidRDefault="009C0D84" w:rsidP="00C61C5E">
      <w:pPr>
        <w:pStyle w:val="rptmainbodyfootnotetext"/>
      </w:pPr>
      <w:r w:rsidRPr="003F4ADE">
        <w:rPr>
          <w:rStyle w:val="FootnoteReference"/>
        </w:rPr>
        <w:footnoteRef/>
      </w:r>
      <w:r w:rsidRPr="003F4ADE">
        <w:t xml:space="preserve"> </w:t>
      </w:r>
      <w:r w:rsidRPr="003F4ADE">
        <w:tab/>
      </w:r>
      <w:r w:rsidR="00EA055F" w:rsidRPr="003F4ADE">
        <w:t>The ISO determines the PPR as a function of the Gross CONE</w:t>
      </w:r>
      <w:r w:rsidR="000E4E78" w:rsidRPr="003F4ADE">
        <w:t xml:space="preserve"> of the reference unit</w:t>
      </w:r>
      <w:r w:rsidR="00EA055F" w:rsidRPr="003F4ADE">
        <w:t xml:space="preserve">.  </w:t>
      </w:r>
      <w:r w:rsidR="008E456B">
        <w:t>W</w:t>
      </w:r>
      <w:r w:rsidR="000E4E78" w:rsidRPr="003F4ADE">
        <w:t xml:space="preserve">e hold the PPR constant </w:t>
      </w:r>
      <w:r w:rsidR="008D3587" w:rsidRPr="003F4ADE">
        <w:t>when determining the WACC in the No MOPR case</w:t>
      </w:r>
      <w:r w:rsidR="00255B10">
        <w:t xml:space="preserve"> and</w:t>
      </w:r>
      <w:r w:rsidR="00065753" w:rsidRPr="003F4ADE">
        <w:t>,</w:t>
      </w:r>
      <w:r w:rsidR="000749C8" w:rsidRPr="003F4ADE">
        <w:t xml:space="preserve"> </w:t>
      </w:r>
      <w:r w:rsidR="003C486C" w:rsidRPr="003F4ADE">
        <w:t xml:space="preserve">modify the </w:t>
      </w:r>
      <w:r w:rsidR="000749C8" w:rsidRPr="003F4ADE">
        <w:t xml:space="preserve">PPR </w:t>
      </w:r>
      <w:r w:rsidR="00B85C9E" w:rsidRPr="003F4ADE">
        <w:t xml:space="preserve">in the No MOPR case </w:t>
      </w:r>
      <w:r w:rsidR="0014475D" w:rsidRPr="003F4ADE">
        <w:t xml:space="preserve">after </w:t>
      </w:r>
      <w:r w:rsidR="00B93223" w:rsidRPr="00C61C5E">
        <w:t>finalizing</w:t>
      </w:r>
      <w:r w:rsidR="00FB5D32" w:rsidRPr="003F4ADE">
        <w:t xml:space="preserve"> the WACC</w:t>
      </w:r>
      <w:r w:rsidR="00D34EB7" w:rsidRPr="003F4ADE">
        <w:t xml:space="preserve"> parameters</w:t>
      </w:r>
      <w:r w:rsidR="00FB5D32" w:rsidRPr="003F4ADE">
        <w:t>.</w:t>
      </w:r>
    </w:p>
  </w:footnote>
  <w:footnote w:id="37">
    <w:p w14:paraId="50FFD328" w14:textId="6ECF36B5" w:rsidR="000957DD" w:rsidRDefault="000957DD" w:rsidP="00C61C5E">
      <w:pPr>
        <w:pStyle w:val="rptmainbodyfootnotetext"/>
      </w:pPr>
      <w:r>
        <w:rPr>
          <w:rStyle w:val="FootnoteReference"/>
        </w:rPr>
        <w:footnoteRef/>
      </w:r>
      <w:r>
        <w:t xml:space="preserve"> </w:t>
      </w:r>
      <w:r>
        <w:tab/>
      </w:r>
      <w:r w:rsidR="00981A40" w:rsidRPr="00981A40">
        <w:t xml:space="preserve">See </w:t>
      </w:r>
      <w:r w:rsidR="00981A40" w:rsidRPr="00C61C5E">
        <w:rPr>
          <w:i/>
          <w:iCs/>
        </w:rPr>
        <w:t>Financial Assumptions.xlsx</w:t>
      </w:r>
      <w:r w:rsidR="00981A40" w:rsidRPr="00981A40">
        <w:t xml:space="preserve"> file in the </w:t>
      </w:r>
      <w:r w:rsidR="00981A40" w:rsidRPr="00C61C5E">
        <w:rPr>
          <w:i/>
          <w:iCs/>
        </w:rPr>
        <w:t>Inputs</w:t>
      </w:r>
      <w:r w:rsidR="00981A40" w:rsidRPr="00981A40">
        <w:t xml:space="preserve"> folder.</w:t>
      </w:r>
    </w:p>
  </w:footnote>
  <w:footnote w:id="38">
    <w:p w14:paraId="1764A0DB" w14:textId="7A8E1605" w:rsidR="00E20F4B" w:rsidRDefault="00E20F4B" w:rsidP="00FF07A1">
      <w:pPr>
        <w:pStyle w:val="rptmainbodyfootnotetext"/>
      </w:pPr>
      <w:r>
        <w:rPr>
          <w:rStyle w:val="FootnoteReference"/>
        </w:rPr>
        <w:footnoteRef/>
      </w:r>
      <w:r>
        <w:t xml:space="preserve"> </w:t>
      </w:r>
      <w:r>
        <w:tab/>
        <w:t xml:space="preserve">In addition to the results discussed in this report, we posted </w:t>
      </w:r>
      <w:r w:rsidR="00036962">
        <w:t>files</w:t>
      </w:r>
      <w:r w:rsidR="00FF07A1">
        <w:t xml:space="preserve"> containing </w:t>
      </w:r>
      <w:r w:rsidR="00E60DDC">
        <w:t>detailed</w:t>
      </w:r>
      <w:r w:rsidR="00FF07A1">
        <w:t xml:space="preserve"> </w:t>
      </w:r>
      <w:r w:rsidR="00E60DDC">
        <w:t xml:space="preserve">model </w:t>
      </w:r>
      <w:r w:rsidR="00FF07A1">
        <w:t>results</w:t>
      </w:r>
      <w:r w:rsidR="00E60DDC">
        <w:t xml:space="preserve">.  These include </w:t>
      </w:r>
      <w:r w:rsidR="00036962">
        <w:t xml:space="preserve">realization-level data on supply and demand variables, clearing prices, total revenues and various other tables </w:t>
      </w:r>
      <w:r w:rsidR="00FC3F53">
        <w:t>that summarize/ aggregate th</w:t>
      </w:r>
      <w:r w:rsidR="007A18B6">
        <w:t>ese</w:t>
      </w:r>
      <w:r w:rsidR="00FC3F53">
        <w:t xml:space="preserve"> data.</w:t>
      </w:r>
      <w:r w:rsidR="00C51656">
        <w:t xml:space="preserve">  </w:t>
      </w:r>
      <w:r w:rsidR="007A0859">
        <w:t xml:space="preserve">See </w:t>
      </w:r>
      <w:r w:rsidR="007A0859" w:rsidRPr="00B80E81">
        <w:rPr>
          <w:i/>
          <w:iCs/>
        </w:rPr>
        <w:t>Outputs</w:t>
      </w:r>
      <w:r w:rsidR="007A0859">
        <w:t xml:space="preserve"> folder.</w:t>
      </w:r>
    </w:p>
  </w:footnote>
  <w:footnote w:id="39">
    <w:p w14:paraId="63249219" w14:textId="7DCDD5AA" w:rsidR="000C1FD0" w:rsidRDefault="000C1FD0" w:rsidP="000C1FD0">
      <w:pPr>
        <w:pStyle w:val="rptmainbodyfootnotetext"/>
      </w:pPr>
      <w:r>
        <w:rPr>
          <w:rStyle w:val="FootnoteReference"/>
        </w:rPr>
        <w:footnoteRef/>
      </w:r>
      <w:r>
        <w:t xml:space="preserve"> </w:t>
      </w:r>
      <w:r>
        <w:tab/>
      </w:r>
      <w:r w:rsidR="001473F3">
        <w:rPr>
          <w:lang w:eastAsia="zh-CN"/>
        </w:rPr>
        <w:t xml:space="preserve">The capacity that we removed was mostly from inflexible combined cycle units.  </w:t>
      </w:r>
      <w:r w:rsidRPr="00F87F62">
        <w:t>We assumed that combined cycle units</w:t>
      </w:r>
      <w:r w:rsidR="00B67A5D">
        <w:t xml:space="preserve"> installed before 2000</w:t>
      </w:r>
      <w:r w:rsidRPr="00F87F62">
        <w:t xml:space="preserve"> </w:t>
      </w:r>
      <w:r w:rsidR="00790541">
        <w:t>will</w:t>
      </w:r>
      <w:r w:rsidRPr="00F87F62">
        <w:t xml:space="preserve"> </w:t>
      </w:r>
      <w:r w:rsidR="00790541">
        <w:t>have higher offer</w:t>
      </w:r>
      <w:r w:rsidR="00003E43">
        <w:t>s</w:t>
      </w:r>
      <w:r w:rsidR="00790541">
        <w:t xml:space="preserve"> </w:t>
      </w:r>
      <w:r w:rsidR="00003E43">
        <w:t xml:space="preserve">than other combined cycle </w:t>
      </w:r>
      <w:r w:rsidR="00790541">
        <w:t xml:space="preserve">units.  This is because these units </w:t>
      </w:r>
      <w:r w:rsidRPr="00F87F62">
        <w:t>are among the existing fleet’s least flexible units</w:t>
      </w:r>
      <w:r w:rsidR="00790541">
        <w:t xml:space="preserve"> and </w:t>
      </w:r>
      <w:r w:rsidR="0056134A">
        <w:t>are likely to incur substantial PFP penalties given their likely worse-than-average availability</w:t>
      </w:r>
      <w:r w:rsidR="00324053">
        <w:t>, particularly in a high renewable penetration scenario</w:t>
      </w:r>
      <w:r w:rsidRPr="00F87F62">
        <w:t xml:space="preserve">.  </w:t>
      </w:r>
      <w:r w:rsidR="006F4E47">
        <w:t>For the purpose of our analysis, w</w:t>
      </w:r>
      <w:r w:rsidR="00324053">
        <w:t xml:space="preserve">e assumed that all steam turbines </w:t>
      </w:r>
      <w:r w:rsidR="00564E38">
        <w:t xml:space="preserve">are </w:t>
      </w:r>
      <w:r w:rsidR="00564E38" w:rsidRPr="00564E38">
        <w:t>retire</w:t>
      </w:r>
      <w:r w:rsidR="00564E38">
        <w:t>d</w:t>
      </w:r>
      <w:r w:rsidR="00564E38" w:rsidRPr="00564E38">
        <w:t xml:space="preserve"> or no longer sell capacity due to high GFCs, higher PPR, and poor performance in PFP events</w:t>
      </w:r>
      <w:r>
        <w:t xml:space="preserve">.  </w:t>
      </w:r>
      <w:r w:rsidR="00AF2D56">
        <w:t xml:space="preserve">See </w:t>
      </w:r>
      <w:r w:rsidR="00AF2D56" w:rsidRPr="00652AFD">
        <w:rPr>
          <w:i/>
          <w:iCs/>
        </w:rPr>
        <w:t>Offers Summary.xlsx</w:t>
      </w:r>
      <w:r w:rsidR="00AF2D56" w:rsidRPr="00CE5E99">
        <w:t xml:space="preserve"> </w:t>
      </w:r>
      <w:r w:rsidR="00AF2D56">
        <w:t xml:space="preserve">file in the </w:t>
      </w:r>
      <w:r w:rsidR="00AF2D56" w:rsidRPr="00652AFD">
        <w:rPr>
          <w:i/>
          <w:iCs/>
        </w:rPr>
        <w:t>Inputs</w:t>
      </w:r>
      <w:r w:rsidR="00AF2D56">
        <w:t xml:space="preserve"> folder for our assumptions regarding offers from existing resources.</w:t>
      </w:r>
    </w:p>
  </w:footnote>
  <w:footnote w:id="40">
    <w:p w14:paraId="78F6C0DC" w14:textId="06ACE1B3" w:rsidR="007A0A02" w:rsidRDefault="007A0A02" w:rsidP="004D061A">
      <w:pPr>
        <w:pStyle w:val="rptmainbodyfootnotetext"/>
      </w:pPr>
      <w:r>
        <w:rPr>
          <w:rStyle w:val="FootnoteReference"/>
        </w:rPr>
        <w:footnoteRef/>
      </w:r>
      <w:r>
        <w:t xml:space="preserve"> </w:t>
      </w:r>
      <w:r>
        <w:tab/>
        <w:t xml:space="preserve">See </w:t>
      </w:r>
      <w:r w:rsidR="00CA7788">
        <w:fldChar w:fldCharType="begin"/>
      </w:r>
      <w:r w:rsidR="00CA7788">
        <w:instrText xml:space="preserve"> REF _Ref84237600 \r \h </w:instrText>
      </w:r>
      <w:r w:rsidR="00CA7788">
        <w:fldChar w:fldCharType="separate"/>
      </w:r>
      <w:r w:rsidR="00CA7788">
        <w:t>III</w:t>
      </w:r>
      <w:r w:rsidR="00CA7788">
        <w:fldChar w:fldCharType="end"/>
      </w:r>
      <w:r w:rsidR="00CA7788">
        <w:fldChar w:fldCharType="begin"/>
      </w:r>
      <w:r w:rsidR="00CA7788">
        <w:instrText xml:space="preserve"> REF _Ref85535105 \r \h </w:instrText>
      </w:r>
      <w:r w:rsidR="00CA7788">
        <w:fldChar w:fldCharType="separate"/>
      </w:r>
      <w:r w:rsidR="00CA7788">
        <w:t>A.B.2</w:t>
      </w:r>
      <w:r w:rsidR="00CA7788">
        <w:fldChar w:fldCharType="end"/>
      </w:r>
      <w:r>
        <w:t xml:space="preserve"> for discussion of </w:t>
      </w:r>
      <w:r w:rsidR="0092478D">
        <w:t>methodology for estimating COD</w:t>
      </w:r>
      <w:r w:rsidR="004A1D9C">
        <w:t>.</w:t>
      </w:r>
    </w:p>
  </w:footnote>
  <w:footnote w:id="41">
    <w:p w14:paraId="02BAE2A5" w14:textId="28C6FB61" w:rsidR="005B54C7" w:rsidRDefault="005B54C7" w:rsidP="004D061A">
      <w:pPr>
        <w:pStyle w:val="rptmainbodyfootnotetext"/>
      </w:pPr>
      <w:r>
        <w:rPr>
          <w:rStyle w:val="FootnoteReference"/>
        </w:rPr>
        <w:footnoteRef/>
      </w:r>
      <w:r>
        <w:t xml:space="preserve"> </w:t>
      </w:r>
      <w:r>
        <w:tab/>
        <w:t xml:space="preserve">See discussion in </w:t>
      </w:r>
      <w:r>
        <w:fldChar w:fldCharType="begin"/>
      </w:r>
      <w:r>
        <w:instrText xml:space="preserve"> REF _Ref84237600 \r \h </w:instrText>
      </w:r>
      <w:r>
        <w:fldChar w:fldCharType="separate"/>
      </w:r>
      <w:r>
        <w:t>III</w:t>
      </w:r>
      <w:r>
        <w:fldChar w:fldCharType="end"/>
      </w:r>
      <w:r w:rsidR="007627A8">
        <w:fldChar w:fldCharType="begin"/>
      </w:r>
      <w:r w:rsidR="007627A8">
        <w:instrText xml:space="preserve"> REF _Ref85455389 \r \h </w:instrText>
      </w:r>
      <w:r w:rsidR="007627A8">
        <w:fldChar w:fldCharType="separate"/>
      </w:r>
      <w:r w:rsidR="007627A8">
        <w:t>.B.1</w:t>
      </w:r>
      <w:r w:rsidR="007627A8">
        <w:fldChar w:fldCharType="end"/>
      </w:r>
      <w:r w:rsidR="007627A8">
        <w:t>.</w:t>
      </w:r>
    </w:p>
  </w:footnote>
  <w:footnote w:id="42">
    <w:p w14:paraId="40033811" w14:textId="4C82CFA4" w:rsidR="00B4263C" w:rsidRDefault="00B4263C" w:rsidP="00B4263C">
      <w:pPr>
        <w:pStyle w:val="rptmainbodyfootnotetext"/>
      </w:pPr>
      <w:r>
        <w:rPr>
          <w:rStyle w:val="FootnoteReference"/>
        </w:rPr>
        <w:footnoteRef/>
      </w:r>
      <w:r>
        <w:t xml:space="preserve"> </w:t>
      </w:r>
      <w:r>
        <w:tab/>
        <w:t>Unless noted otherwise, all prices and revenues in this section are shown in 2030$.</w:t>
      </w:r>
    </w:p>
  </w:footnote>
  <w:footnote w:id="43">
    <w:p w14:paraId="307C9525" w14:textId="686CE8B0" w:rsidR="00F944B3" w:rsidRDefault="00F944B3" w:rsidP="00F944B3">
      <w:pPr>
        <w:pStyle w:val="rptmainbodyfootnotetext"/>
      </w:pPr>
      <w:r>
        <w:rPr>
          <w:rStyle w:val="FootnoteReference"/>
        </w:rPr>
        <w:footnoteRef/>
      </w:r>
      <w:r>
        <w:t xml:space="preserve"> </w:t>
      </w:r>
      <w:r>
        <w:tab/>
        <w:t>T</w:t>
      </w:r>
      <w:r>
        <w:rPr>
          <w:lang w:eastAsia="zh-CN"/>
        </w:rPr>
        <w:t xml:space="preserve">he B+/BB- rating under status quo, i.e., the Rating Case range, corresponds to the </w:t>
      </w:r>
      <w:r w:rsidR="000E1188">
        <w:rPr>
          <w:lang w:eastAsia="zh-CN"/>
        </w:rPr>
        <w:t>9</w:t>
      </w:r>
      <w:r w:rsidR="000E1188" w:rsidRPr="004D061A">
        <w:rPr>
          <w:vertAlign w:val="superscript"/>
          <w:lang w:eastAsia="zh-CN"/>
        </w:rPr>
        <w:t>th</w:t>
      </w:r>
      <w:r w:rsidR="000E1188">
        <w:rPr>
          <w:lang w:eastAsia="zh-CN"/>
        </w:rPr>
        <w:t xml:space="preserve"> </w:t>
      </w:r>
      <w:r>
        <w:rPr>
          <w:lang w:eastAsia="zh-CN"/>
        </w:rPr>
        <w:t xml:space="preserve">to </w:t>
      </w:r>
      <w:r w:rsidR="000E1188">
        <w:rPr>
          <w:lang w:eastAsia="zh-CN"/>
        </w:rPr>
        <w:t>16</w:t>
      </w:r>
      <w:r w:rsidR="000E1188" w:rsidRPr="004D061A">
        <w:rPr>
          <w:vertAlign w:val="superscript"/>
          <w:lang w:eastAsia="zh-CN"/>
        </w:rPr>
        <w:t>th</w:t>
      </w:r>
      <w:r w:rsidR="000E1188">
        <w:rPr>
          <w:lang w:eastAsia="zh-CN"/>
        </w:rPr>
        <w:t xml:space="preserve"> percentile</w:t>
      </w:r>
      <w:r>
        <w:rPr>
          <w:lang w:eastAsia="zh-CN"/>
        </w:rPr>
        <w:t xml:space="preserve"> of the revenue distribution.  </w:t>
      </w:r>
      <w:r>
        <w:t xml:space="preserve">See </w:t>
      </w:r>
      <w:r w:rsidR="000E1188">
        <w:fldChar w:fldCharType="begin"/>
      </w:r>
      <w:r w:rsidR="000E1188">
        <w:instrText xml:space="preserve"> REF _Ref84237600 \r \h </w:instrText>
      </w:r>
      <w:r w:rsidR="000E1188">
        <w:fldChar w:fldCharType="separate"/>
      </w:r>
      <w:r w:rsidR="000E1188">
        <w:t>III</w:t>
      </w:r>
      <w:r w:rsidR="000E1188">
        <w:fldChar w:fldCharType="end"/>
      </w:r>
      <w:r w:rsidR="000E1188">
        <w:fldChar w:fldCharType="begin"/>
      </w:r>
      <w:r w:rsidR="000E1188">
        <w:instrText xml:space="preserve"> REF _Ref85535105 \r \h </w:instrText>
      </w:r>
      <w:r w:rsidR="000E1188">
        <w:fldChar w:fldCharType="separate"/>
      </w:r>
      <w:r w:rsidR="000E1188">
        <w:t>A.B.2</w:t>
      </w:r>
      <w:r w:rsidR="000E1188">
        <w:fldChar w:fldCharType="end"/>
      </w:r>
      <w:r>
        <w:t xml:space="preserve"> for discussion of methodology for estimating COD.</w:t>
      </w:r>
    </w:p>
  </w:footnote>
  <w:footnote w:id="44">
    <w:p w14:paraId="53E0ABC0" w14:textId="670B73FC" w:rsidR="00177D8C" w:rsidRDefault="00177D8C" w:rsidP="004D061A">
      <w:pPr>
        <w:pStyle w:val="rptmainbodyfootnotetext"/>
      </w:pPr>
      <w:r>
        <w:rPr>
          <w:rStyle w:val="FootnoteReference"/>
        </w:rPr>
        <w:footnoteRef/>
      </w:r>
      <w:r>
        <w:t xml:space="preserve"> </w:t>
      </w:r>
      <w:r>
        <w:tab/>
      </w:r>
      <w:r w:rsidR="00AE2617">
        <w:t xml:space="preserve">See </w:t>
      </w:r>
      <w:r w:rsidR="00AE2617">
        <w:fldChar w:fldCharType="begin"/>
      </w:r>
      <w:r w:rsidR="00AE2617">
        <w:instrText xml:space="preserve"> REF _Ref86064632 \h </w:instrText>
      </w:r>
      <w:r w:rsidR="00AE2617">
        <w:fldChar w:fldCharType="separate"/>
      </w:r>
      <w:r w:rsidR="00AE2617">
        <w:t xml:space="preserve">Figure </w:t>
      </w:r>
      <w:r w:rsidR="00AE2617">
        <w:rPr>
          <w:noProof/>
        </w:rPr>
        <w:t>6</w:t>
      </w:r>
      <w:r w:rsidR="00AE2617">
        <w:fldChar w:fldCharType="end"/>
      </w:r>
      <w:r w:rsidR="00AE2617">
        <w:t>.</w:t>
      </w:r>
    </w:p>
  </w:footnote>
  <w:footnote w:id="45">
    <w:p w14:paraId="419607C4" w14:textId="1700B775" w:rsidR="00BF105B" w:rsidRDefault="00BF105B" w:rsidP="004D061A">
      <w:pPr>
        <w:pStyle w:val="rptmainbodyfootnotetext"/>
      </w:pPr>
      <w:r>
        <w:rPr>
          <w:rStyle w:val="FootnoteReference"/>
        </w:rPr>
        <w:footnoteRef/>
      </w:r>
      <w:r>
        <w:t xml:space="preserve"> </w:t>
      </w:r>
      <w:r>
        <w:tab/>
      </w:r>
      <w:r w:rsidR="0022386C" w:rsidRPr="0022386C">
        <w:t>In general</w:t>
      </w:r>
      <w:r w:rsidR="000634EB">
        <w:t xml:space="preserve">, </w:t>
      </w:r>
      <w:r w:rsidR="001648F3">
        <w:t>R</w:t>
      </w:r>
      <w:r w:rsidR="0022386C" w:rsidRPr="0022386C">
        <w:t>eturn to equity = (Free Cash Flow – Debt payment)/ Equity Value</w:t>
      </w:r>
      <w:r w:rsidR="000634EB">
        <w:t xml:space="preserve">.  </w:t>
      </w:r>
      <w:r w:rsidR="0022386C" w:rsidRPr="0022386C">
        <w:t xml:space="preserve">Hence, </w:t>
      </w:r>
      <w:r w:rsidR="00B8140B" w:rsidRPr="0022386C">
        <w:t xml:space="preserve">as the equity value decreases </w:t>
      </w:r>
      <w:r w:rsidR="00A613A9">
        <w:t xml:space="preserve">(i.e., the denominator decreases), all else being equal, the </w:t>
      </w:r>
      <w:r w:rsidR="0022386C" w:rsidRPr="0022386C">
        <w:t xml:space="preserve">volatility </w:t>
      </w:r>
      <w:r w:rsidR="00A613A9">
        <w:t>of</w:t>
      </w:r>
      <w:r w:rsidR="0022386C" w:rsidRPr="0022386C">
        <w:t xml:space="preserve"> the return</w:t>
      </w:r>
      <w:r w:rsidR="00A613A9">
        <w:t>s</w:t>
      </w:r>
      <w:r w:rsidR="0022386C" w:rsidRPr="0022386C">
        <w:t xml:space="preserve"> to equity</w:t>
      </w:r>
      <w:r w:rsidR="00CF0365">
        <w:t xml:space="preserve"> holders</w:t>
      </w:r>
      <w:r w:rsidR="0022386C" w:rsidRPr="0022386C">
        <w:t xml:space="preserve"> increases.</w:t>
      </w:r>
      <w:r w:rsidR="00CF0365">
        <w:t xml:space="preserve">  Th</w:t>
      </w:r>
      <w:r w:rsidR="00774DD2">
        <w:t>is increase in volatility at higher leverage levels is partially offset by</w:t>
      </w:r>
      <w:r w:rsidR="00C34BF2">
        <w:t xml:space="preserve"> </w:t>
      </w:r>
      <w:r w:rsidR="006120FB">
        <w:t>the reduction in COE as some of the default risk shifts away from equity holders (to debt holders)</w:t>
      </w:r>
      <w:r w:rsidR="00AB5D8D">
        <w:t>.</w:t>
      </w:r>
      <w:r w:rsidR="00DC4612">
        <w:t xml:space="preserve">  </w:t>
      </w:r>
    </w:p>
  </w:footnote>
  <w:footnote w:id="46">
    <w:p w14:paraId="2FC0E902" w14:textId="2F0A5104" w:rsidR="000F649A" w:rsidRDefault="000F649A" w:rsidP="004D061A">
      <w:pPr>
        <w:pStyle w:val="rptmainbodyfootnotetext"/>
      </w:pPr>
      <w:r>
        <w:rPr>
          <w:rStyle w:val="FootnoteReference"/>
        </w:rPr>
        <w:footnoteRef/>
      </w:r>
      <w:r>
        <w:t xml:space="preserve"> </w:t>
      </w:r>
      <w:r>
        <w:tab/>
      </w:r>
      <w:r w:rsidR="005C2F12">
        <w:t>This condition is characterized by the following relationship:</w:t>
      </w:r>
      <w:r w:rsidR="004B631E">
        <w:t xml:space="preserve"> </w:t>
      </w:r>
      <w:r w:rsidR="004B631E" w:rsidRPr="004D061A">
        <w:t xml:space="preserve">PPR </w:t>
      </w:r>
      <w:r w:rsidR="00CC244D" w:rsidRPr="004D061A">
        <w:t xml:space="preserve">= </w:t>
      </w:r>
      <w:r w:rsidR="00CC244D">
        <w:t xml:space="preserve">(Gross CONE – EAS revenue) / </w:t>
      </w:r>
      <w:r w:rsidR="004B631E" w:rsidRPr="003F4ADE">
        <w:t>(</w:t>
      </w:r>
      <w:r w:rsidR="004B631E" w:rsidRPr="004D061A">
        <w:rPr>
          <w:rFonts w:eastAsia="Cambria Math"/>
        </w:rPr>
        <w:t>H x A</w:t>
      </w:r>
      <w:r w:rsidR="004B631E" w:rsidRPr="003F4ADE">
        <w:t>)</w:t>
      </w:r>
      <w:r w:rsidR="005C2F12" w:rsidRPr="003F4ADE">
        <w:t xml:space="preserve">.  </w:t>
      </w:r>
      <w:r w:rsidRPr="003F4ADE">
        <w:t xml:space="preserve">See </w:t>
      </w:r>
      <w:r w:rsidR="00F841C1">
        <w:t xml:space="preserve">ISO’s September </w:t>
      </w:r>
      <w:r w:rsidR="00F71DC1">
        <w:t xml:space="preserve">2013 </w:t>
      </w:r>
      <w:hyperlink r:id="rId6" w:history="1">
        <w:r w:rsidR="00F841C1" w:rsidRPr="00F71DC1">
          <w:rPr>
            <w:rStyle w:val="Hyperlink"/>
          </w:rPr>
          <w:t>memo</w:t>
        </w:r>
      </w:hyperlink>
      <w:r w:rsidR="00F841C1">
        <w:t xml:space="preserve"> on </w:t>
      </w:r>
      <w:r w:rsidR="00F71DC1" w:rsidRPr="004D061A">
        <w:rPr>
          <w:i/>
          <w:iCs/>
        </w:rPr>
        <w:t>FCM Performance Incentives – Performance Payment Rate</w:t>
      </w:r>
      <w:r w:rsidR="00F71DC1">
        <w:t>.</w:t>
      </w:r>
    </w:p>
  </w:footnote>
  <w:footnote w:id="47">
    <w:p w14:paraId="53F7D5D0" w14:textId="6456A92D" w:rsidR="00C61D9F" w:rsidRDefault="00C61D9F" w:rsidP="004D061A">
      <w:pPr>
        <w:pStyle w:val="rptmainbodyfootnotetext"/>
      </w:pPr>
      <w:r>
        <w:rPr>
          <w:rStyle w:val="FootnoteReference"/>
        </w:rPr>
        <w:footnoteRef/>
      </w:r>
      <w:r>
        <w:t xml:space="preserve"> </w:t>
      </w:r>
      <w:r>
        <w:tab/>
      </w:r>
      <w:r w:rsidR="00CB0807">
        <w:t xml:space="preserve">Although the </w:t>
      </w:r>
      <w:r w:rsidR="00D04B00">
        <w:t xml:space="preserve">estimated </w:t>
      </w:r>
      <w:r w:rsidR="00111DBE">
        <w:t>final PPR in the No MOPR case is higher, w</w:t>
      </w:r>
      <w:r w:rsidR="007709BB">
        <w:rPr>
          <w:lang w:eastAsia="zh-CN"/>
        </w:rPr>
        <w:t>e use the same PPR</w:t>
      </w:r>
      <w:r w:rsidR="00910F31">
        <w:rPr>
          <w:lang w:eastAsia="zh-CN"/>
        </w:rPr>
        <w:t xml:space="preserve"> value</w:t>
      </w:r>
      <w:r w:rsidR="007709BB">
        <w:rPr>
          <w:lang w:eastAsia="zh-CN"/>
        </w:rPr>
        <w:t xml:space="preserve"> </w:t>
      </w:r>
      <w:r w:rsidR="007C2126">
        <w:rPr>
          <w:lang w:eastAsia="zh-CN"/>
        </w:rPr>
        <w:t>for</w:t>
      </w:r>
      <w:r w:rsidR="007709BB">
        <w:rPr>
          <w:lang w:eastAsia="zh-CN"/>
        </w:rPr>
        <w:t xml:space="preserve"> both MOPR and No MOPR cases </w:t>
      </w:r>
      <w:r w:rsidR="007C2126">
        <w:rPr>
          <w:lang w:eastAsia="zh-CN"/>
        </w:rPr>
        <w:t>in</w:t>
      </w:r>
      <w:r w:rsidR="007709BB">
        <w:rPr>
          <w:lang w:eastAsia="zh-CN"/>
        </w:rPr>
        <w:t xml:space="preserve"> determining the impact of MOPR elimination on WACC.  </w:t>
      </w:r>
      <w:r w:rsidR="00111DBE">
        <w:t>This simplif</w:t>
      </w:r>
      <w:r w:rsidR="00510A22">
        <w:t>ication</w:t>
      </w:r>
      <w:r w:rsidR="00111DBE">
        <w:t xml:space="preserve"> is unlikely to have a significant impact on the final </w:t>
      </w:r>
      <w:r w:rsidR="00226346">
        <w:t>estimate</w:t>
      </w:r>
      <w:r w:rsidR="002B3B98">
        <w:t xml:space="preserve"> for Net CONE in the No MOPR case</w:t>
      </w:r>
      <w:r w:rsidR="00226346">
        <w:t>.</w:t>
      </w: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40E805F7" w14:textId="10AABB92" w:rsidR="00962FB5" w:rsidRDefault="002B42D7" w:rsidP="00474E3D">
    <w:pPr>
      <w:pStyle w:val="Header"/>
      <w:tabs>
        <w:tab w:val="clear" w:pos="4680"/>
      </w:tabs>
      <w:spacing w:before="180"/>
    </w:pPr>
    <w:r w:rsidRPr="00127024">
      <w:rPr>
        <w:b/>
        <w:noProof/>
      </w:rPr>
      <mc:AlternateContent>
        <mc:Choice Requires="wps">
          <w:drawing>
            <wp:anchor distT="4294967295" distB="4294967295" distL="114300" distR="114300" simplePos="0" relativeHeight="251658240" behindDoc="0" locked="0" layoutInCell="1" allowOverlap="1" wp14:anchorId="2039A6A1" wp14:editId="6B25BBB1">
              <wp:simplePos x="0" y="0"/>
              <wp:positionH relativeFrom="margin">
                <wp:posOffset>0</wp:posOffset>
              </wp:positionH>
              <wp:positionV relativeFrom="paragraph">
                <wp:posOffset>339997</wp:posOffset>
              </wp:positionV>
              <wp:extent cx="5972175" cy="0"/>
              <wp:effectExtent l="0" t="0" r="0" b="0"/>
              <wp:wrapNone/>
              <wp:docPr id="744" name="Line 15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5972175" cy="0"/>
                      </a:xfrm>
                      <a:prstGeom prst="line">
                        <a:avLst/>
                      </a:prstGeom>
                      <a:noFill/>
                      <a:ln w="12700">
                        <a:solidFill>
                          <a:schemeClr val="bg1">
                            <a:lumMod val="50000"/>
                          </a:schemeClr>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a="http://schemas.openxmlformats.org/drawingml/2006/main" xmlns:a14="http://schemas.microsoft.com/office/drawing/2010/main" xmlns:arto="http://schemas.microsoft.com/office/word/2006/arto"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w:pict w14:anchorId="7E02F4C7">
            <v:line id="Line 150" style="position:absolute;flip:x;z-index:251658240;visibility:visible;mso-wrap-style:square;mso-width-percent:0;mso-height-percent:0;mso-wrap-distance-left:9pt;mso-wrap-distance-top:-3e-5mm;mso-wrap-distance-right:9pt;mso-wrap-distance-bottom:-3e-5mm;mso-position-horizontal:absolute;mso-position-horizontal-relative:margin;mso-position-vertical:absolute;mso-position-vertical-relative:text;mso-width-percent:0;mso-height-percent:0;mso-width-relative:page;mso-height-relative:page" o:spid="_x0000_s1026" strokecolor="#7f7f7f [1612]" strokeweight="1pt" from="0,26.75pt" to="470.25pt,26.75pt" w14:anchorId="14FDA49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">
              <w10:wrap anchorx="margin"/>
            </v:line>
          </w:pict>
        </mc:Fallback>
      </mc:AlternateContent>
    </w:r>
    <w:r w:rsidR="00962FB5">
      <w:rPr>
        <w:noProof/>
      </w:rPr>
      <mc:AlternateContent>
        <mc:Choice Requires="wps">
          <w:drawing>
            <wp:anchor distT="0" distB="0" distL="114300" distR="114300" simplePos="0" relativeHeight="251658241" behindDoc="0" locked="0" layoutInCell="1" allowOverlap="1" wp14:anchorId="2A7E5B50" wp14:editId="7AB1BC6C">
              <wp:simplePos x="0" y="0"/>
              <wp:positionH relativeFrom="page">
                <wp:align>left</wp:align>
              </wp:positionH>
              <wp:positionV relativeFrom="page">
                <wp:posOffset>319768</wp:posOffset>
              </wp:positionV>
              <wp:extent cx="1307592" cy="137160"/>
              <wp:effectExtent l="0" t="0" r="6985" b="0"/>
              <wp:wrapNone/>
              <wp:docPr id="475" name="Rectangle 475"/>
              <wp:cNvGraphicFramePr/>
              <a:graphic xmlns:a="http://schemas.openxmlformats.org/drawingml/2006/main">
                <a:graphicData uri="http://schemas.microsoft.com/office/word/2010/wordprocessingShape">
                  <wps:wsp>
                    <wps:cNvSpPr/>
                    <wps:spPr>
                      <a:xfrm>
                        <a:off x="0" y="0"/>
                        <a:ext cx="1307592" cy="137160"/>
                      </a:xfrm>
                      <a:prstGeom prst="rect">
                        <a:avLst/>
                      </a:prstGeom>
                      <a:solidFill>
                        <a:schemeClr val="bg1">
                          <a:lumMod val="65000"/>
                        </a:schemeClr>
                      </a:solidFill>
                      <a:ln>
                        <a:noFill/>
                      </a:ln>
                      <a:effectLst/>
                    </wps:spPr>
                    <wps:style>
                      <a:lnRef idx="1">
                        <a:schemeClr val="accent1"/>
                      </a:lnRef>
                      <a:fillRef idx="3">
                        <a:schemeClr val="accent1"/>
                      </a:fillRef>
                      <a:effectRef idx="2">
                        <a:schemeClr val="accent1"/>
                      </a:effectRef>
                      <a:fontRef idx="minor">
                        <a:schemeClr val="lt1"/>
                      </a:fontRef>
                    </wps:style>
                    <wps:txbx>
                      <w:txbxContent>
                        <w:p w14:paraId="0176AD6E" w14:textId="77777777" w:rsidR="00962FB5" w:rsidRPr="001D1D65" w:rsidRDefault="00962FB5" w:rsidP="00474E3D">
                          <w:pPr>
                            <w:jc w:val="center"/>
                            <w:rPr>
                              <w:color w:val="808080" w:themeColor="background1" w:themeShade="80"/>
                              <w14:textOutline w14:w="9525" w14:cap="rnd" w14:cmpd="sng" w14:algn="ctr">
                                <w14:noFill/>
                                <w14:prstDash w14:val="solid"/>
                                <w14:bevel/>
                              </w14:textOutline>
                            </w:rPr>
                          </w:pPr>
                          <w:r w:rsidRPr="001D1D65">
                            <w:rPr>
                              <w:color w:val="808080" w:themeColor="background1" w:themeShade="80"/>
                              <w14:textOutline w14:w="9525" w14:cap="rnd" w14:cmpd="sng" w14:algn="ctr">
                                <w14:noFill/>
                                <w14:prstDash w14:val="solid"/>
                                <w14:bevel/>
                              </w14:textOutline>
                            </w:rPr>
                            <w:t>/</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w:pict>
            <v:rect w14:anchorId="2A7E5B50" id="Rectangle 475" o:spid="_x0000_s1027" style="position:absolute;margin-left:0;margin-top:25.2pt;width:102.95pt;height:10.8pt;z-index:251658241;visibility:visible;mso-wrap-style:square;mso-width-percent:0;mso-height-percent:0;mso-wrap-distance-left:9pt;mso-wrap-distance-top:0;mso-wrap-distance-right:9pt;mso-wrap-distance-bottom:0;mso-position-horizontal:left;mso-position-horizontal-relative:page;mso-position-vertical:absolute;mso-position-vertical-relative:page;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" fillcolor="#a5a5a5 [2092]" stroked="f">
              <v:textbox>
                <w:txbxContent>
                  <w:p w14:paraId="0176AD6E" w14:textId="77777777" w:rsidR="00962FB5" w:rsidRPr="001D1D65" w:rsidRDefault="00962FB5" w:rsidP="00474E3D">
                    <w:pPr>
                      <w:jc w:val="center"/>
                      <w:rPr>
                        <w:color w:val="808080" w:themeColor="background1" w:themeShade="80"/>
                        <w14:textOutline w14:w="9525" w14:cap="rnd" w14:cmpd="sng" w14:algn="ctr">
                          <w14:noFill/>
                          <w14:prstDash w14:val="solid"/>
                          <w14:bevel/>
                        </w14:textOutline>
                      </w:rPr>
                    </w:pPr>
                    <w:r w:rsidRPr="001D1D65">
                      <w:rPr>
                        <w:color w:val="808080" w:themeColor="background1" w:themeShade="80"/>
                        <w14:textOutline w14:w="9525" w14:cap="rnd" w14:cmpd="sng" w14:algn="ctr">
                          <w14:noFill/>
                          <w14:prstDash w14:val="solid"/>
                          <w14:bevel/>
                        </w14:textOutline>
                      </w:rPr>
                      <w:t>/</w:t>
                    </w:r>
                  </w:p>
                </w:txbxContent>
              </v:textbox>
              <w10:wrap anchorx="page" anchory="page"/>
            </v:rect>
          </w:pict>
        </mc:Fallback>
      </mc:AlternateContent>
    </w:r>
    <w:r w:rsidR="00962FB5" w:rsidRPr="004C3CFB">
      <w:rPr>
        <w:b/>
        <w:color w:val="7F7F7F" w:themeColor="text1" w:themeTint="80"/>
      </w:rPr>
      <w:t>Contents</w:t>
    </w:r>
  </w:p>
</w:hdr>
</file>

<file path=word/header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29635CBD" w14:textId="77777777" w:rsidR="00CF78D1" w:rsidRPr="00474E3D" w:rsidRDefault="00CF78D1" w:rsidP="00CF78D1">
    <w:pPr>
      <w:pStyle w:val="Header"/>
      <w:spacing w:before="180"/>
      <w:jc w:val="right"/>
    </w:pPr>
    <w:r w:rsidRPr="00152759">
      <w:rPr>
        <w:b/>
        <w:noProof/>
        <w:color w:val="7F7F7F" w:themeColor="text1" w:themeTint="80"/>
      </w:rPr>
      <mc:AlternateContent>
        <mc:Choice Requires="wps">
          <w:drawing>
            <wp:anchor distT="0" distB="0" distL="114300" distR="114300" simplePos="0" relativeHeight="251658266" behindDoc="0" locked="0" layoutInCell="1" allowOverlap="1" wp14:anchorId="63E978E1" wp14:editId="0ECF2EC0">
              <wp:simplePos x="0" y="0"/>
              <wp:positionH relativeFrom="page">
                <wp:posOffset>6457950</wp:posOffset>
              </wp:positionH>
              <wp:positionV relativeFrom="page">
                <wp:posOffset>323124</wp:posOffset>
              </wp:positionV>
              <wp:extent cx="1307592" cy="137160"/>
              <wp:effectExtent l="0" t="0" r="6985" b="0"/>
              <wp:wrapNone/>
              <wp:docPr id="3" name="Rectangle 3"/>
              <wp:cNvGraphicFramePr/>
              <a:graphic xmlns:a="http://schemas.openxmlformats.org/drawingml/2006/main">
                <a:graphicData uri="http://schemas.microsoft.com/office/word/2010/wordprocessingShape">
                  <wps:wsp>
                    <wps:cNvSpPr/>
                    <wps:spPr>
                      <a:xfrm>
                        <a:off x="0" y="0"/>
                        <a:ext cx="1307592" cy="137160"/>
                      </a:xfrm>
                      <a:prstGeom prst="rect">
                        <a:avLst/>
                      </a:prstGeom>
                      <a:solidFill>
                        <a:schemeClr val="bg1">
                          <a:lumMod val="65000"/>
                        </a:schemeClr>
                      </a:solidFill>
                      <a:ln>
                        <a:noFill/>
                      </a:ln>
                      <a:effectLst/>
                    </wps:spPr>
                    <wps:style>
                      <a:lnRef idx="1">
                        <a:schemeClr val="accent1"/>
                      </a:lnRef>
                      <a:fillRef idx="3">
                        <a:schemeClr val="accent1"/>
                      </a:fillRef>
                      <a:effectRef idx="2">
                        <a:schemeClr val="accent1"/>
                      </a:effectRef>
                      <a:fontRef idx="minor">
                        <a:schemeClr val="lt1"/>
                      </a:fontRef>
                    </wps:style>
                    <wps:txbx>
                      <w:txbxContent>
                        <w:p w14:paraId="1DBD7124" w14:textId="77777777" w:rsidR="00CF78D1" w:rsidRDefault="00CF78D1" w:rsidP="00CF78D1">
                          <w:pPr>
                            <w:jc w:val="center"/>
                          </w:pPr>
                          <w:r>
                            <w:t>/</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w:pict>
            <v:rect w14:anchorId="63E978E1" id="Rectangle 3" o:spid="_x0000_s1028" style="position:absolute;left:0;text-align:left;margin-left:508.5pt;margin-top:25.45pt;width:102.95pt;height:10.8pt;z-index:25165826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" fillcolor="#a5a5a5 [2092]" stroked="f">
              <v:textbox>
                <w:txbxContent>
                  <w:p w14:paraId="1DBD7124" w14:textId="77777777" w:rsidR="00CF78D1" w:rsidRDefault="00CF78D1" w:rsidP="00CF78D1">
                    <w:pPr>
                      <w:jc w:val="center"/>
                    </w:pPr>
                    <w:r>
                      <w:t>/</w:t>
                    </w:r>
                  </w:p>
                </w:txbxContent>
              </v:textbox>
              <w10:wrap anchorx="page" anchory="page"/>
            </v:rect>
          </w:pict>
        </mc:Fallback>
      </mc:AlternateContent>
    </w:r>
    <w:r w:rsidRPr="00152759">
      <w:rPr>
        <w:b/>
        <w:noProof/>
        <w:color w:val="7F7F7F" w:themeColor="text1" w:themeTint="80"/>
      </w:rPr>
      <mc:AlternateContent>
        <mc:Choice Requires="wps">
          <w:drawing>
            <wp:anchor distT="4294967295" distB="4294967295" distL="114300" distR="114300" simplePos="0" relativeHeight="251658265" behindDoc="0" locked="0" layoutInCell="1" allowOverlap="1" wp14:anchorId="3D413B84" wp14:editId="0A950089">
              <wp:simplePos x="0" y="0"/>
              <wp:positionH relativeFrom="margin">
                <wp:align>right</wp:align>
              </wp:positionH>
              <wp:positionV relativeFrom="paragraph">
                <wp:posOffset>333375</wp:posOffset>
              </wp:positionV>
              <wp:extent cx="5925312" cy="0"/>
              <wp:effectExtent l="0" t="0" r="37465" b="19050"/>
              <wp:wrapNone/>
              <wp:docPr id="2" name="Line 15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5925312" cy="0"/>
                      </a:xfrm>
                      <a:prstGeom prst="line">
                        <a:avLst/>
                      </a:prstGeom>
                      <a:ln>
                        <a:solidFill>
                          <a:schemeClr val="bg1">
                            <a:lumMod val="50000"/>
                          </a:schemeClr>
                        </a:solidFill>
                        <a:headEnd/>
                        <a:tailEnd/>
                      </a:ln>
                    </wps:spPr>
                    <wps:style>
                      <a:lnRef idx="1">
                        <a:schemeClr val="accent1"/>
                      </a:lnRef>
                      <a:fillRef idx="0">
                        <a:schemeClr val="accent1"/>
                      </a:fillRef>
                      <a:effectRef idx="0">
                        <a:schemeClr val="accent1"/>
                      </a:effectRef>
                      <a:fontRef idx="minor">
                        <a:schemeClr val="tx1"/>
                      </a:fontRef>
                    </wps:style>
                    <wps:bodyPr/>
                  </wps:wsp>
                </a:graphicData>
              </a:graphic>
              <wp14:sizeRelH relativeFrom="page">
                <wp14:pctWidth>0</wp14:pctWidth>
              </wp14:sizeRelH>
              <wp14:sizeRelV relativeFrom="page">
                <wp14:pctHeight>0</wp14:pctHeight>
              </wp14:sizeRelV>
            </wp:anchor>
          </w:drawing>
        </mc:Choice>
        <mc:Fallback xmlns:a="http://schemas.openxmlformats.org/drawingml/2006/main" xmlns:arto="http://schemas.microsoft.com/office/word/2006/arto"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w:pict w14:anchorId="22C05002">
            <v:line id="Line 150" style="position:absolute;z-index:251658269;visibility:visible;mso-wrap-style:square;mso-width-percent:0;mso-height-percent:0;mso-wrap-distance-left:9pt;mso-wrap-distance-top:-3e-5mm;mso-wrap-distance-right:9pt;mso-wrap-distance-bottom:-3e-5mm;mso-position-horizontal:right;mso-position-horizontal-relative:margin;mso-position-vertical:absolute;mso-position-vertical-relative:text;mso-width-percent:0;mso-height-percent:0;mso-width-relative:page;mso-height-relative:page" o:spid="_x0000_s1026" strokecolor="#7f7f7f [1612]" from="415.35pt,26.25pt" to="881.9pt,26.25pt" w14:anchorId="1D26330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">
              <w10:wrap anchorx="margin"/>
            </v:line>
          </w:pict>
        </mc:Fallback>
      </mc:AlternateContent>
    </w:r>
    <w:r w:rsidRPr="00152759">
      <w:rPr>
        <w:b/>
        <w:color w:val="7F7F7F" w:themeColor="text1" w:themeTint="80"/>
      </w:rPr>
      <w:t>Contents</w:t>
    </w:r>
    <w:r w:rsidRPr="00152759" w:rsidDel="002E5F51">
      <w:rPr>
        <w:b/>
        <w:color w:val="7F7F7F" w:themeColor="text1" w:themeTint="80"/>
      </w:rPr>
      <w:t xml:space="preserve"> </w:t>
    </w:r>
  </w:p>
  <w:p w14:paraId="091954CB" w14:textId="77777777" w:rsidR="0014139F" w:rsidRDefault="0014139F">
    <w:pPr>
      <w:pStyle w:val="Header"/>
    </w:pPr>
  </w:p>
</w:hdr>
</file>

<file path=word/header3.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561385B3" w14:textId="77777777" w:rsidR="00A7635D" w:rsidRDefault="00A7635D">
    <w:pPr>
      <w:pStyle w:val="Header"/>
    </w:pPr>
  </w:p>
</w:hdr>
</file>

<file path=word/header4.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42D6C40E" w14:textId="5C473FF7" w:rsidR="00CF78D1" w:rsidRPr="00474E3D" w:rsidRDefault="00CF78D1" w:rsidP="00CF78D1">
    <w:pPr>
      <w:pStyle w:val="Header"/>
      <w:spacing w:before="180"/>
      <w:jc w:val="right"/>
    </w:pPr>
    <w:r w:rsidRPr="00152759">
      <w:rPr>
        <w:b/>
        <w:noProof/>
        <w:color w:val="7F7F7F" w:themeColor="text1" w:themeTint="80"/>
      </w:rPr>
      <mc:AlternateContent>
        <mc:Choice Requires="wps">
          <w:drawing>
            <wp:anchor distT="0" distB="0" distL="114300" distR="114300" simplePos="0" relativeHeight="251658269" behindDoc="0" locked="0" layoutInCell="1" allowOverlap="1" wp14:anchorId="6A1B0395" wp14:editId="296554DB">
              <wp:simplePos x="0" y="0"/>
              <wp:positionH relativeFrom="page">
                <wp:posOffset>6457950</wp:posOffset>
              </wp:positionH>
              <wp:positionV relativeFrom="page">
                <wp:posOffset>323124</wp:posOffset>
              </wp:positionV>
              <wp:extent cx="1307592" cy="137160"/>
              <wp:effectExtent l="0" t="0" r="6985" b="0"/>
              <wp:wrapNone/>
              <wp:docPr id="50" name="Rectangle 50"/>
              <wp:cNvGraphicFramePr/>
              <a:graphic xmlns:a="http://schemas.openxmlformats.org/drawingml/2006/main">
                <a:graphicData uri="http://schemas.microsoft.com/office/word/2010/wordprocessingShape">
                  <wps:wsp>
                    <wps:cNvSpPr/>
                    <wps:spPr>
                      <a:xfrm>
                        <a:off x="0" y="0"/>
                        <a:ext cx="1307592" cy="137160"/>
                      </a:xfrm>
                      <a:prstGeom prst="rect">
                        <a:avLst/>
                      </a:prstGeom>
                      <a:solidFill>
                        <a:schemeClr val="bg1">
                          <a:lumMod val="65000"/>
                        </a:schemeClr>
                      </a:solidFill>
                      <a:ln>
                        <a:noFill/>
                      </a:ln>
                      <a:effectLst/>
                    </wps:spPr>
                    <wps:style>
                      <a:lnRef idx="1">
                        <a:schemeClr val="accent1"/>
                      </a:lnRef>
                      <a:fillRef idx="3">
                        <a:schemeClr val="accent1"/>
                      </a:fillRef>
                      <a:effectRef idx="2">
                        <a:schemeClr val="accent1"/>
                      </a:effectRef>
                      <a:fontRef idx="minor">
                        <a:schemeClr val="lt1"/>
                      </a:fontRef>
                    </wps:style>
                    <wps:txbx>
                      <w:txbxContent>
                        <w:p w14:paraId="02D08EED" w14:textId="77777777" w:rsidR="00CF78D1" w:rsidRDefault="00CF78D1" w:rsidP="00CF78D1">
                          <w:pPr>
                            <w:jc w:val="center"/>
                          </w:pPr>
                          <w:r>
                            <w:t>/</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w:pict>
            <v:rect w14:anchorId="6A1B0395" id="Rectangle 50" o:spid="_x0000_s1031" style="position:absolute;left:0;text-align:left;margin-left:508.5pt;margin-top:25.45pt;width:102.95pt;height:10.8pt;z-index:251658269;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" fillcolor="#a5a5a5 [2092]" stroked="f">
              <v:textbox>
                <w:txbxContent>
                  <w:p w14:paraId="02D08EED" w14:textId="77777777" w:rsidR="00CF78D1" w:rsidRDefault="00CF78D1" w:rsidP="00CF78D1">
                    <w:pPr>
                      <w:jc w:val="center"/>
                    </w:pPr>
                    <w:r>
                      <w:t>/</w:t>
                    </w:r>
                  </w:p>
                </w:txbxContent>
              </v:textbox>
              <w10:wrap anchorx="page" anchory="page"/>
            </v:rect>
          </w:pict>
        </mc:Fallback>
      </mc:AlternateContent>
    </w:r>
    <w:r w:rsidRPr="00152759">
      <w:rPr>
        <w:b/>
        <w:color w:val="7F7F7F" w:themeColor="text1" w:themeTint="80"/>
      </w:rPr>
      <w:t>Contents</w:t>
    </w:r>
    <w:r w:rsidRPr="00152759" w:rsidDel="002E5F51">
      <w:rPr>
        <w:b/>
        <w:color w:val="7F7F7F" w:themeColor="text1" w:themeTint="80"/>
      </w:rPr>
      <w:t xml:space="preserve"> </w:t>
    </w:r>
  </w:p>
  <w:p w14:paraId="442C147E" w14:textId="346DDE3E" w:rsidR="00CF78D1" w:rsidRDefault="004651BC">
    <w:pPr>
      <w:pStyle w:val="Header"/>
    </w:pPr>
    <w:r w:rsidRPr="00152759">
      <w:rPr>
        <w:b/>
        <w:noProof/>
        <w:color w:val="7F7F7F" w:themeColor="text1" w:themeTint="80"/>
      </w:rPr>
      <mc:AlternateContent>
        <mc:Choice Requires="wps">
          <w:drawing>
            <wp:anchor distT="4294967295" distB="4294967295" distL="114300" distR="114300" simplePos="0" relativeHeight="251658268" behindDoc="0" locked="0" layoutInCell="1" allowOverlap="1" wp14:anchorId="2F75145A" wp14:editId="471E5191">
              <wp:simplePos x="0" y="0"/>
              <wp:positionH relativeFrom="margin">
                <wp:posOffset>23223</wp:posOffset>
              </wp:positionH>
              <wp:positionV relativeFrom="paragraph">
                <wp:posOffset>48895</wp:posOffset>
              </wp:positionV>
              <wp:extent cx="5925312" cy="0"/>
              <wp:effectExtent l="0" t="0" r="0" b="0"/>
              <wp:wrapNone/>
              <wp:docPr id="51" name="Line 15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5925312" cy="0"/>
                      </a:xfrm>
                      <a:prstGeom prst="line">
                        <a:avLst/>
                      </a:prstGeom>
                      <a:ln>
                        <a:solidFill>
                          <a:schemeClr val="bg1">
                            <a:lumMod val="50000"/>
                          </a:schemeClr>
                        </a:solidFill>
                        <a:headEnd/>
                        <a:tailEnd/>
                      </a:ln>
                    </wps:spPr>
                    <wps:style>
                      <a:lnRef idx="1">
                        <a:schemeClr val="accent1"/>
                      </a:lnRef>
                      <a:fillRef idx="0">
                        <a:schemeClr val="accent1"/>
                      </a:fillRef>
                      <a:effectRef idx="0">
                        <a:schemeClr val="accent1"/>
                      </a:effectRef>
                      <a:fontRef idx="minor">
                        <a:schemeClr val="tx1"/>
                      </a:fontRef>
                    </wps:style>
                    <wps:bodyPr/>
                  </wps:wsp>
                </a:graphicData>
              </a:graphic>
              <wp14:sizeRelH relativeFrom="page">
                <wp14:pctWidth>0</wp14:pctWidth>
              </wp14:sizeRelH>
              <wp14:sizeRelV relativeFrom="page">
                <wp14:pctHeight>0</wp14:pctHeight>
              </wp14:sizeRelV>
            </wp:anchor>
          </w:drawing>
        </mc:Choice>
        <mc:Fallback xmlns:a="http://schemas.openxmlformats.org/drawingml/2006/main" xmlns:arto="http://schemas.microsoft.com/office/word/2006/arto"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w:pict w14:anchorId="310C28C3">
            <v:line id="Line 150" style="position:absolute;z-index:251658272;visibility:visible;mso-wrap-style:square;mso-width-percent:0;mso-height-percent:0;mso-wrap-distance-left:9pt;mso-wrap-distance-top:-3e-5mm;mso-wrap-distance-right:9pt;mso-wrap-distance-bottom:-3e-5mm;mso-position-horizontal:absolute;mso-position-horizontal-relative:margin;mso-position-vertical:absolute;mso-position-vertical-relative:text;mso-width-percent:0;mso-height-percent:0;mso-width-relative:page;mso-height-relative:page" o:spid="_x0000_s1026" strokecolor="#7f7f7f [1612]" from="1.85pt,3.85pt" to="468.4pt,3.85pt" w14:anchorId="0B56C718"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">
              <w10:wrap anchorx="margin"/>
            </v:line>
          </w:pict>
        </mc:Fallback>
      </mc:AlternateContent>
    </w:r>
  </w:p>
</w:hdr>
</file>

<file path=word/header5.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53C947BA" w14:textId="4EB4F2CE" w:rsidR="004651BC" w:rsidRPr="00474E3D" w:rsidRDefault="004651BC" w:rsidP="00CF78D1">
    <w:pPr>
      <w:pStyle w:val="Header"/>
      <w:spacing w:before="180"/>
      <w:jc w:val="right"/>
    </w:pPr>
    <w:r w:rsidRPr="00152759">
      <w:rPr>
        <w:b/>
        <w:noProof/>
        <w:color w:val="7F7F7F" w:themeColor="text1" w:themeTint="80"/>
      </w:rPr>
      <mc:AlternateContent>
        <mc:Choice Requires="wps">
          <w:drawing>
            <wp:anchor distT="0" distB="0" distL="114300" distR="114300" simplePos="0" relativeHeight="251658263" behindDoc="0" locked="0" layoutInCell="1" allowOverlap="1" wp14:anchorId="61EDE980" wp14:editId="7F23CBE8">
              <wp:simplePos x="0" y="0"/>
              <wp:positionH relativeFrom="page">
                <wp:posOffset>6457950</wp:posOffset>
              </wp:positionH>
              <wp:positionV relativeFrom="page">
                <wp:posOffset>323124</wp:posOffset>
              </wp:positionV>
              <wp:extent cx="1307592" cy="137160"/>
              <wp:effectExtent l="0" t="0" r="6985" b="0"/>
              <wp:wrapNone/>
              <wp:docPr id="52" name="Rectangle 52"/>
              <wp:cNvGraphicFramePr/>
              <a:graphic xmlns:a="http://schemas.openxmlformats.org/drawingml/2006/main">
                <a:graphicData uri="http://schemas.microsoft.com/office/word/2010/wordprocessingShape">
                  <wps:wsp>
                    <wps:cNvSpPr/>
                    <wps:spPr>
                      <a:xfrm>
                        <a:off x="0" y="0"/>
                        <a:ext cx="1307592" cy="137160"/>
                      </a:xfrm>
                      <a:prstGeom prst="rect">
                        <a:avLst/>
                      </a:prstGeom>
                      <a:solidFill>
                        <a:schemeClr val="bg1">
                          <a:lumMod val="65000"/>
                        </a:schemeClr>
                      </a:solidFill>
                      <a:ln>
                        <a:noFill/>
                      </a:ln>
                      <a:effectLst/>
                    </wps:spPr>
                    <wps:style>
                      <a:lnRef idx="1">
                        <a:schemeClr val="accent1"/>
                      </a:lnRef>
                      <a:fillRef idx="3">
                        <a:schemeClr val="accent1"/>
                      </a:fillRef>
                      <a:effectRef idx="2">
                        <a:schemeClr val="accent1"/>
                      </a:effectRef>
                      <a:fontRef idx="minor">
                        <a:schemeClr val="lt1"/>
                      </a:fontRef>
                    </wps:style>
                    <wps:txbx>
                      <w:txbxContent>
                        <w:p w14:paraId="4273D275" w14:textId="77777777" w:rsidR="004651BC" w:rsidRDefault="004651BC" w:rsidP="00CF78D1">
                          <w:pPr>
                            <w:jc w:val="center"/>
                          </w:pPr>
                          <w:r>
                            <w:t>/</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w:pict>
            <v:rect w14:anchorId="61EDE980" id="Rectangle 52" o:spid="_x0000_s1032" style="position:absolute;left:0;text-align:left;margin-left:508.5pt;margin-top:25.45pt;width:102.95pt;height:10.8pt;z-index:251658263;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" fillcolor="#a5a5a5 [2092]" stroked="f">
              <v:textbox>
                <w:txbxContent>
                  <w:p w14:paraId="4273D275" w14:textId="77777777" w:rsidR="004651BC" w:rsidRDefault="004651BC" w:rsidP="00CF78D1">
                    <w:pPr>
                      <w:jc w:val="center"/>
                    </w:pPr>
                    <w:r>
                      <w:t>/</w:t>
                    </w:r>
                  </w:p>
                </w:txbxContent>
              </v:textbox>
              <w10:wrap anchorx="page" anchory="page"/>
            </v:rect>
          </w:pict>
        </mc:Fallback>
      </mc:AlternateContent>
    </w:r>
    <w:r w:rsidR="002B42D7">
      <w:rPr>
        <w:b/>
        <w:color w:val="7F7F7F" w:themeColor="text1" w:themeTint="80"/>
      </w:rPr>
      <w:t>Preface</w:t>
    </w:r>
    <w:r w:rsidRPr="00152759" w:rsidDel="002E5F51">
      <w:rPr>
        <w:b/>
        <w:color w:val="7F7F7F" w:themeColor="text1" w:themeTint="80"/>
      </w:rPr>
      <w:t xml:space="preserve"> </w:t>
    </w:r>
  </w:p>
  <w:p w14:paraId="6BD1927E" w14:textId="79D25342" w:rsidR="004651BC" w:rsidRDefault="002B42D7">
    <w:pPr>
      <w:pStyle w:val="Header"/>
    </w:pPr>
    <w:r w:rsidRPr="00152759">
      <w:rPr>
        <w:b/>
        <w:noProof/>
        <w:color w:val="7F7F7F" w:themeColor="text1" w:themeTint="80"/>
      </w:rPr>
      <mc:AlternateContent>
        <mc:Choice Requires="wps">
          <w:drawing>
            <wp:anchor distT="4294967295" distB="4294967295" distL="114300" distR="114300" simplePos="0" relativeHeight="251658242" behindDoc="0" locked="0" layoutInCell="1" allowOverlap="1" wp14:anchorId="1B527F84" wp14:editId="76001191">
              <wp:simplePos x="0" y="0"/>
              <wp:positionH relativeFrom="margin">
                <wp:posOffset>21953</wp:posOffset>
              </wp:positionH>
              <wp:positionV relativeFrom="paragraph">
                <wp:posOffset>43815</wp:posOffset>
              </wp:positionV>
              <wp:extent cx="5925185" cy="0"/>
              <wp:effectExtent l="0" t="0" r="0" b="0"/>
              <wp:wrapNone/>
              <wp:docPr id="53" name="Line 15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5925185" cy="0"/>
                      </a:xfrm>
                      <a:prstGeom prst="line">
                        <a:avLst/>
                      </a:prstGeom>
                      <a:ln>
                        <a:solidFill>
                          <a:schemeClr val="bg1">
                            <a:lumMod val="50000"/>
                          </a:schemeClr>
                        </a:solidFill>
                        <a:headEnd/>
                        <a:tailEnd/>
                      </a:ln>
                    </wps:spPr>
                    <wps:style>
                      <a:lnRef idx="1">
                        <a:schemeClr val="accent1"/>
                      </a:lnRef>
                      <a:fillRef idx="0">
                        <a:schemeClr val="accent1"/>
                      </a:fillRef>
                      <a:effectRef idx="0">
                        <a:schemeClr val="accent1"/>
                      </a:effectRef>
                      <a:fontRef idx="minor">
                        <a:schemeClr val="tx1"/>
                      </a:fontRef>
                    </wps:style>
                    <wps:bodyPr/>
                  </wps:wsp>
                </a:graphicData>
              </a:graphic>
              <wp14:sizeRelH relativeFrom="page">
                <wp14:pctWidth>0</wp14:pctWidth>
              </wp14:sizeRelH>
              <wp14:sizeRelV relativeFrom="page">
                <wp14:pctHeight>0</wp14:pctHeight>
              </wp14:sizeRelV>
            </wp:anchor>
          </w:drawing>
        </mc:Choice>
        <mc:Fallback xmlns:a="http://schemas.openxmlformats.org/drawingml/2006/main" xmlns:arto="http://schemas.microsoft.com/office/word/2006/arto"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w:pict w14:anchorId="78320E75">
            <v:line id="Line 150" style="position:absolute;z-index:251658242;visibility:visible;mso-wrap-style:square;mso-width-percent:0;mso-height-percent:0;mso-wrap-distance-left:9pt;mso-wrap-distance-top:-3e-5mm;mso-wrap-distance-right:9pt;mso-wrap-distance-bottom:-3e-5mm;mso-position-horizontal:absolute;mso-position-horizontal-relative:margin;mso-position-vertical:absolute;mso-position-vertical-relative:text;mso-width-percent:0;mso-height-percent:0;mso-width-relative:page;mso-height-relative:page" o:spid="_x0000_s1026" strokecolor="#7f7f7f [1612]" from="1.75pt,3.45pt" to="468.3pt,3.45pt" w14:anchorId="5773D3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">
              <w10:wrap anchorx="margin"/>
            </v:line>
          </w:pict>
        </mc:Fallback>
      </mc:AlternateContent>
    </w:r>
  </w:p>
</w:hdr>
</file>

<file path=word/header6.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18E2D70C" w14:textId="3A3E2353" w:rsidR="00962FB5" w:rsidRPr="00772272" w:rsidRDefault="00962FB5" w:rsidP="002025CB">
    <w:pPr>
      <w:pStyle w:val="Header"/>
      <w:spacing w:before="180" w:line="360" w:lineRule="auto"/>
      <w:rPr>
        <w:b/>
        <w:color w:val="7F7F7F" w:themeColor="text1" w:themeTint="80"/>
        <w:lang w:eastAsia="x-none"/>
      </w:rPr>
    </w:pPr>
    <w:r w:rsidRPr="004F51E1">
      <w:rPr>
        <w:b/>
        <w:noProof/>
        <w:color w:val="7F7F7F" w:themeColor="text1" w:themeTint="80"/>
        <w:sz w:val="22"/>
      </w:rPr>
      <mc:AlternateContent>
        <mc:Choice Requires="wps">
          <w:drawing>
            <wp:anchor distT="0" distB="0" distL="114300" distR="114300" simplePos="0" relativeHeight="251658246" behindDoc="0" locked="0" layoutInCell="1" allowOverlap="1" wp14:anchorId="5160A58D" wp14:editId="03BBE2ED">
              <wp:simplePos x="0" y="0"/>
              <wp:positionH relativeFrom="page">
                <wp:posOffset>6894</wp:posOffset>
              </wp:positionH>
              <wp:positionV relativeFrom="page">
                <wp:posOffset>356870</wp:posOffset>
              </wp:positionV>
              <wp:extent cx="1307592" cy="137160"/>
              <wp:effectExtent l="0" t="0" r="6985" b="0"/>
              <wp:wrapNone/>
              <wp:docPr id="11" name="Rectangle 11"/>
              <wp:cNvGraphicFramePr/>
              <a:graphic xmlns:a="http://schemas.openxmlformats.org/drawingml/2006/main">
                <a:graphicData uri="http://schemas.microsoft.com/office/word/2010/wordprocessingShape">
                  <wps:wsp>
                    <wps:cNvSpPr/>
                    <wps:spPr>
                      <a:xfrm>
                        <a:off x="0" y="0"/>
                        <a:ext cx="1307592" cy="137160"/>
                      </a:xfrm>
                      <a:prstGeom prst="rect">
                        <a:avLst/>
                      </a:prstGeom>
                      <a:solidFill>
                        <a:schemeClr val="bg1">
                          <a:lumMod val="65000"/>
                        </a:schemeClr>
                      </a:solidFill>
                      <a:ln>
                        <a:noFill/>
                      </a:ln>
                      <a:effectLst/>
                    </wps:spPr>
                    <wps:style>
                      <a:lnRef idx="1">
                        <a:schemeClr val="accent1"/>
                      </a:lnRef>
                      <a:fillRef idx="3">
                        <a:schemeClr val="accent1"/>
                      </a:fillRef>
                      <a:effectRef idx="2">
                        <a:schemeClr val="accent1"/>
                      </a:effectRef>
                      <a:fontRef idx="minor">
                        <a:schemeClr val="lt1"/>
                      </a:fontRef>
                    </wps:style>
                    <wps:txbx>
                      <w:txbxContent>
                        <w:p w14:paraId="2D5E6203" w14:textId="77777777" w:rsidR="00962FB5" w:rsidRDefault="00962FB5" w:rsidP="00A81446">
                          <w:pPr>
                            <w:jc w:val="center"/>
                          </w:pPr>
                          <w:r>
                            <w:t>/</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w:pict>
            <v:rect w14:anchorId="5160A58D" id="Rectangle 11" o:spid="_x0000_s1033" style="position:absolute;margin-left:.55pt;margin-top:28.1pt;width:102.95pt;height:10.8pt;z-index:25165824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" fillcolor="#a5a5a5 [2092]" stroked="f">
              <v:textbox>
                <w:txbxContent>
                  <w:p w14:paraId="2D5E6203" w14:textId="77777777" w:rsidR="00962FB5" w:rsidRDefault="00962FB5" w:rsidP="00A81446">
                    <w:pPr>
                      <w:jc w:val="center"/>
                    </w:pPr>
                    <w:r>
                      <w:t>/</w:t>
                    </w:r>
                  </w:p>
                </w:txbxContent>
              </v:textbox>
              <w10:wrap anchorx="page" anchory="page"/>
            </v:rect>
          </w:pict>
        </mc:Fallback>
      </mc:AlternateContent>
    </w:r>
    <w:r w:rsidRPr="00772272">
      <w:rPr>
        <w:b/>
        <w:noProof/>
        <w:color w:val="7F7F7F" w:themeColor="text1" w:themeTint="80"/>
        <w:sz w:val="22"/>
      </w:rPr>
      <mc:AlternateContent>
        <mc:Choice Requires="wps">
          <w:drawing>
            <wp:anchor distT="4294967295" distB="4294967295" distL="114300" distR="114300" simplePos="0" relativeHeight="251658245" behindDoc="0" locked="0" layoutInCell="1" allowOverlap="1" wp14:anchorId="59FD4343" wp14:editId="640A3EC6">
              <wp:simplePos x="0" y="0"/>
              <wp:positionH relativeFrom="margin">
                <wp:align>right</wp:align>
              </wp:positionH>
              <wp:positionV relativeFrom="paragraph">
                <wp:posOffset>333375</wp:posOffset>
              </wp:positionV>
              <wp:extent cx="5925312" cy="0"/>
              <wp:effectExtent l="0" t="0" r="37465" b="19050"/>
              <wp:wrapNone/>
              <wp:docPr id="12" name="Line 15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5925312" cy="0"/>
                      </a:xfrm>
                      <a:prstGeom prst="line">
                        <a:avLst/>
                      </a:prstGeom>
                      <a:ln w="9525">
                        <a:solidFill>
                          <a:schemeClr val="bg1">
                            <a:lumMod val="50000"/>
                          </a:schemeClr>
                        </a:solidFill>
                        <a:round/>
                        <a:headEnd/>
                        <a:tailEnd/>
                      </a:ln>
                    </wps:spPr>
                    <wps:style>
                      <a:lnRef idx="1">
                        <a:schemeClr val="accent1"/>
                      </a:lnRef>
                      <a:fillRef idx="0">
                        <a:schemeClr val="accent1"/>
                      </a:fillRef>
                      <a:effectRef idx="0">
                        <a:schemeClr val="accent1"/>
                      </a:effectRef>
                      <a:fontRef idx="minor">
                        <a:schemeClr val="tx1"/>
                      </a:fontRef>
                    </wps:style>
                    <wps:bodyPr/>
                  </wps:wsp>
                </a:graphicData>
              </a:graphic>
              <wp14:sizeRelH relativeFrom="page">
                <wp14:pctWidth>0</wp14:pctWidth>
              </wp14:sizeRelH>
              <wp14:sizeRelV relativeFrom="page">
                <wp14:pctHeight>0</wp14:pctHeight>
              </wp14:sizeRelV>
            </wp:anchor>
          </w:drawing>
        </mc:Choice>
        <mc:Fallback xmlns:a="http://schemas.openxmlformats.org/drawingml/2006/main" xmlns:arto="http://schemas.microsoft.com/office/word/2006/arto"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w:pict w14:anchorId="534A7A91">
            <v:line id="Line 150" style="position:absolute;z-index:251658245;visibility:visible;mso-wrap-style:square;mso-width-percent:0;mso-height-percent:0;mso-wrap-distance-left:9pt;mso-wrap-distance-top:-3e-5mm;mso-wrap-distance-right:9pt;mso-wrap-distance-bottom:-3e-5mm;mso-position-horizontal:right;mso-position-horizontal-relative:margin;mso-position-vertical:absolute;mso-position-vertical-relative:text;mso-width-percent:0;mso-height-percent:0;mso-width-relative:page;mso-height-relative:page" o:spid="_x0000_s1026" strokecolor="#7f7f7f [1612]" from="415.35pt,26.25pt" to="881.9pt,26.25pt" w14:anchorId="25897D2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">
              <w10:wrap anchorx="margin"/>
            </v:line>
          </w:pict>
        </mc:Fallback>
      </mc:AlternateContent>
    </w:r>
    <w:r w:rsidR="00B60747">
      <w:rPr>
        <w:b/>
        <w:color w:val="7F7F7F" w:themeColor="text1" w:themeTint="80"/>
        <w:lang w:eastAsia="x-none"/>
      </w:rPr>
      <w:t>Executive Summary</w:t>
    </w:r>
  </w:p>
</w:hdr>
</file>

<file path=word/header7.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0FEF818B" w14:textId="7E22FCE2" w:rsidR="00962FB5" w:rsidRPr="00A81446" w:rsidRDefault="00962FB5" w:rsidP="00152759">
    <w:pPr>
      <w:pStyle w:val="Header"/>
      <w:spacing w:before="180" w:line="360" w:lineRule="auto"/>
      <w:jc w:val="right"/>
      <w:rPr>
        <w:sz w:val="22"/>
      </w:rPr>
    </w:pPr>
    <w:r w:rsidRPr="00152759">
      <w:rPr>
        <w:noProof/>
        <w:sz w:val="28"/>
      </w:rPr>
      <mc:AlternateContent>
        <mc:Choice Requires="wps">
          <w:drawing>
            <wp:anchor distT="0" distB="0" distL="114300" distR="114300" simplePos="0" relativeHeight="251658244" behindDoc="0" locked="0" layoutInCell="1" allowOverlap="1" wp14:anchorId="72496D5C" wp14:editId="05F567A6">
              <wp:simplePos x="0" y="0"/>
              <wp:positionH relativeFrom="page">
                <wp:posOffset>6458041</wp:posOffset>
              </wp:positionH>
              <wp:positionV relativeFrom="page">
                <wp:posOffset>354330</wp:posOffset>
              </wp:positionV>
              <wp:extent cx="1307592" cy="137160"/>
              <wp:effectExtent l="0" t="0" r="6985" b="0"/>
              <wp:wrapNone/>
              <wp:docPr id="6" name="Rectangle 6"/>
              <wp:cNvGraphicFramePr/>
              <a:graphic xmlns:a="http://schemas.openxmlformats.org/drawingml/2006/main">
                <a:graphicData uri="http://schemas.microsoft.com/office/word/2010/wordprocessingShape">
                  <wps:wsp>
                    <wps:cNvSpPr/>
                    <wps:spPr>
                      <a:xfrm>
                        <a:off x="0" y="0"/>
                        <a:ext cx="1307592" cy="137160"/>
                      </a:xfrm>
                      <a:prstGeom prst="rect">
                        <a:avLst/>
                      </a:prstGeom>
                      <a:solidFill>
                        <a:schemeClr val="bg1">
                          <a:lumMod val="65000"/>
                        </a:schemeClr>
                      </a:solidFill>
                      <a:ln>
                        <a:noFill/>
                      </a:ln>
                      <a:effectLst/>
                    </wps:spPr>
                    <wps:style>
                      <a:lnRef idx="1">
                        <a:schemeClr val="accent1"/>
                      </a:lnRef>
                      <a:fillRef idx="3">
                        <a:schemeClr val="accent1"/>
                      </a:fillRef>
                      <a:effectRef idx="2">
                        <a:schemeClr val="accent1"/>
                      </a:effectRef>
                      <a:fontRef idx="minor">
                        <a:schemeClr val="lt1"/>
                      </a:fontRef>
                    </wps:style>
                    <wps:txbx>
                      <w:txbxContent>
                        <w:p w14:paraId="5038039D" w14:textId="77777777" w:rsidR="00962FB5" w:rsidRPr="001D1D65" w:rsidRDefault="00962FB5" w:rsidP="00A81446">
                          <w:pPr>
                            <w:jc w:val="center"/>
                            <w:rPr>
                              <w:color w:val="808080" w:themeColor="background1" w:themeShade="80"/>
                              <w14:textOutline w14:w="9525" w14:cap="rnd" w14:cmpd="sng" w14:algn="ctr">
                                <w14:noFill/>
                                <w14:prstDash w14:val="solid"/>
                                <w14:bevel/>
                              </w14:textOutline>
                            </w:rPr>
                          </w:pPr>
                          <w:r w:rsidRPr="001D1D65">
                            <w:rPr>
                              <w:color w:val="808080" w:themeColor="background1" w:themeShade="80"/>
                              <w14:textOutline w14:w="9525" w14:cap="rnd" w14:cmpd="sng" w14:algn="ctr">
                                <w14:noFill/>
                                <w14:prstDash w14:val="solid"/>
                                <w14:bevel/>
                              </w14:textOutline>
                            </w:rPr>
                            <w:t>/</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w:pict>
            <v:rect w14:anchorId="72496D5C" id="Rectangle 6" o:spid="_x0000_s1034" style="position:absolute;left:0;text-align:left;margin-left:508.5pt;margin-top:27.9pt;width:102.95pt;height:10.8pt;z-index:25165824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" fillcolor="#a5a5a5 [2092]" stroked="f">
              <v:textbox>
                <w:txbxContent>
                  <w:p w14:paraId="5038039D" w14:textId="77777777" w:rsidR="00962FB5" w:rsidRPr="001D1D65" w:rsidRDefault="00962FB5" w:rsidP="00A81446">
                    <w:pPr>
                      <w:jc w:val="center"/>
                      <w:rPr>
                        <w:color w:val="808080" w:themeColor="background1" w:themeShade="80"/>
                        <w14:textOutline w14:w="9525" w14:cap="rnd" w14:cmpd="sng" w14:algn="ctr">
                          <w14:noFill/>
                          <w14:prstDash w14:val="solid"/>
                          <w14:bevel/>
                        </w14:textOutline>
                      </w:rPr>
                    </w:pPr>
                    <w:r w:rsidRPr="001D1D65">
                      <w:rPr>
                        <w:color w:val="808080" w:themeColor="background1" w:themeShade="80"/>
                        <w14:textOutline w14:w="9525" w14:cap="rnd" w14:cmpd="sng" w14:algn="ctr">
                          <w14:noFill/>
                          <w14:prstDash w14:val="solid"/>
                          <w14:bevel/>
                        </w14:textOutline>
                      </w:rPr>
                      <w:t>/</w:t>
                    </w:r>
                  </w:p>
                </w:txbxContent>
              </v:textbox>
              <w10:wrap anchorx="page" anchory="page"/>
            </v:rect>
          </w:pict>
        </mc:Fallback>
      </mc:AlternateContent>
    </w:r>
    <w:r w:rsidRPr="00152759">
      <w:rPr>
        <w:b/>
        <w:noProof/>
        <w:sz w:val="28"/>
      </w:rPr>
      <mc:AlternateContent>
        <mc:Choice Requires="wps">
          <w:drawing>
            <wp:anchor distT="4294967295" distB="4294967295" distL="114300" distR="114300" simplePos="0" relativeHeight="251658243" behindDoc="0" locked="0" layoutInCell="1" allowOverlap="1" wp14:anchorId="3295FD48" wp14:editId="3F2292EA">
              <wp:simplePos x="0" y="0"/>
              <wp:positionH relativeFrom="margin">
                <wp:align>left</wp:align>
              </wp:positionH>
              <wp:positionV relativeFrom="paragraph">
                <wp:posOffset>329565</wp:posOffset>
              </wp:positionV>
              <wp:extent cx="5971032" cy="0"/>
              <wp:effectExtent l="0" t="0" r="10795" b="19050"/>
              <wp:wrapNone/>
              <wp:docPr id="10" name="Line 15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5971032" cy="0"/>
                      </a:xfrm>
                      <a:prstGeom prst="line">
                        <a:avLst/>
                      </a:prstGeom>
                      <a:noFill/>
                      <a:ln w="12700">
                        <a:solidFill>
                          <a:schemeClr val="bg1">
                            <a:lumMod val="50000"/>
                          </a:schemeClr>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a="http://schemas.openxmlformats.org/drawingml/2006/main" xmlns:a14="http://schemas.microsoft.com/office/drawing/2010/main" xmlns:arto="http://schemas.microsoft.com/office/word/2006/arto"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w:pict w14:anchorId="091D055D">
            <v:line id="Line 150" style="position:absolute;flip:x;z-index:251658243;visibility:visible;mso-wrap-style:square;mso-width-percent:0;mso-height-percent:0;mso-wrap-distance-left:9pt;mso-wrap-distance-top:-3e-5mm;mso-wrap-distance-right:9pt;mso-wrap-distance-bottom:-3e-5mm;mso-position-horizontal:left;mso-position-horizontal-relative:margin;mso-position-vertical:absolute;mso-position-vertical-relative:text;mso-width-percent:0;mso-height-percent:0;mso-width-relative:page;mso-height-relative:page" o:spid="_x0000_s1026" strokecolor="#7f7f7f [1612]" strokeweight="1pt" from="0,25.95pt" to="470.15pt,25.95pt" w14:anchorId="5520B96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">
              <w10:wrap anchorx="margin"/>
            </v:line>
          </w:pict>
        </mc:Fallback>
      </mc:AlternateContent>
    </w:r>
    <w:r w:rsidRPr="002025CB">
      <w:rPr>
        <w:b/>
        <w:color w:val="7F7F7F" w:themeColor="text1" w:themeTint="80"/>
        <w:lang w:eastAsia="x-none"/>
      </w:rPr>
      <w:t xml:space="preserve"> </w:t>
    </w:r>
    <w:r w:rsidR="00B71C51">
      <w:rPr>
        <w:b/>
        <w:color w:val="7F7F7F" w:themeColor="text1" w:themeTint="80"/>
        <w:lang w:eastAsia="x-none"/>
      </w:rPr>
      <w:t>Executive Summary</w:t>
    </w:r>
    <w:r w:rsidDel="0082393F">
      <w:rPr>
        <w:b/>
        <w:color w:val="7F7F7F" w:themeColor="text1" w:themeTint="80"/>
        <w:sz w:val="22"/>
      </w:rPr>
      <w:t xml:space="preserve"> </w:t>
    </w:r>
  </w:p>
</w:hdr>
</file>

<file path=word/header8.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7F97BF9F" w14:textId="2D2BF6BD" w:rsidR="00B71C51" w:rsidRPr="00772272" w:rsidRDefault="00B71C51" w:rsidP="002025CB">
    <w:pPr>
      <w:pStyle w:val="Header"/>
      <w:spacing w:before="180" w:line="360" w:lineRule="auto"/>
      <w:rPr>
        <w:b/>
        <w:color w:val="7F7F7F" w:themeColor="text1" w:themeTint="80"/>
        <w:lang w:eastAsia="x-none"/>
      </w:rPr>
    </w:pPr>
    <w:r w:rsidRPr="004F51E1">
      <w:rPr>
        <w:b/>
        <w:noProof/>
        <w:color w:val="7F7F7F" w:themeColor="text1" w:themeTint="80"/>
        <w:sz w:val="22"/>
      </w:rPr>
      <mc:AlternateContent>
        <mc:Choice Requires="wps">
          <w:drawing>
            <wp:anchor distT="0" distB="0" distL="114300" distR="114300" simplePos="0" relativeHeight="251658275" behindDoc="0" locked="0" layoutInCell="1" allowOverlap="1" wp14:anchorId="7B9F2C3F" wp14:editId="247165E6">
              <wp:simplePos x="0" y="0"/>
              <wp:positionH relativeFrom="page">
                <wp:posOffset>6894</wp:posOffset>
              </wp:positionH>
              <wp:positionV relativeFrom="page">
                <wp:posOffset>356870</wp:posOffset>
              </wp:positionV>
              <wp:extent cx="1307592" cy="137160"/>
              <wp:effectExtent l="0" t="0" r="6985" b="0"/>
              <wp:wrapNone/>
              <wp:docPr id="9" name="Rectangle 9"/>
              <wp:cNvGraphicFramePr/>
              <a:graphic xmlns:a="http://schemas.openxmlformats.org/drawingml/2006/main">
                <a:graphicData uri="http://schemas.microsoft.com/office/word/2010/wordprocessingShape">
                  <wps:wsp>
                    <wps:cNvSpPr/>
                    <wps:spPr>
                      <a:xfrm>
                        <a:off x="0" y="0"/>
                        <a:ext cx="1307592" cy="137160"/>
                      </a:xfrm>
                      <a:prstGeom prst="rect">
                        <a:avLst/>
                      </a:prstGeom>
                      <a:solidFill>
                        <a:schemeClr val="bg1">
                          <a:lumMod val="65000"/>
                        </a:schemeClr>
                      </a:solidFill>
                      <a:ln>
                        <a:noFill/>
                      </a:ln>
                      <a:effectLst/>
                    </wps:spPr>
                    <wps:style>
                      <a:lnRef idx="1">
                        <a:schemeClr val="accent1"/>
                      </a:lnRef>
                      <a:fillRef idx="3">
                        <a:schemeClr val="accent1"/>
                      </a:fillRef>
                      <a:effectRef idx="2">
                        <a:schemeClr val="accent1"/>
                      </a:effectRef>
                      <a:fontRef idx="minor">
                        <a:schemeClr val="lt1"/>
                      </a:fontRef>
                    </wps:style>
                    <wps:txbx>
                      <w:txbxContent>
                        <w:p w14:paraId="3C369E4B" w14:textId="77777777" w:rsidR="00B71C51" w:rsidRDefault="00B71C51" w:rsidP="00A81446">
                          <w:pPr>
                            <w:jc w:val="center"/>
                          </w:pPr>
                          <w:r>
                            <w:t>/</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w:pict>
            <v:rect w14:anchorId="7B9F2C3F" id="Rectangle 9" o:spid="_x0000_s1036" style="position:absolute;margin-left:.55pt;margin-top:28.1pt;width:102.95pt;height:10.8pt;z-index:251658275;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" fillcolor="#a5a5a5 [2092]" stroked="f">
              <v:textbox>
                <w:txbxContent>
                  <w:p w14:paraId="3C369E4B" w14:textId="77777777" w:rsidR="00B71C51" w:rsidRDefault="00B71C51" w:rsidP="00A81446">
                    <w:pPr>
                      <w:jc w:val="center"/>
                    </w:pPr>
                    <w:r>
                      <w:t>/</w:t>
                    </w:r>
                  </w:p>
                </w:txbxContent>
              </v:textbox>
              <w10:wrap anchorx="page" anchory="page"/>
            </v:rect>
          </w:pict>
        </mc:Fallback>
      </mc:AlternateContent>
    </w:r>
    <w:r w:rsidRPr="00772272">
      <w:rPr>
        <w:b/>
        <w:noProof/>
        <w:color w:val="7F7F7F" w:themeColor="text1" w:themeTint="80"/>
        <w:sz w:val="22"/>
      </w:rPr>
      <mc:AlternateContent>
        <mc:Choice Requires="wps">
          <w:drawing>
            <wp:anchor distT="4294967295" distB="4294967295" distL="114300" distR="114300" simplePos="0" relativeHeight="251658274" behindDoc="0" locked="0" layoutInCell="1" allowOverlap="1" wp14:anchorId="2D5EE985" wp14:editId="2D31594D">
              <wp:simplePos x="0" y="0"/>
              <wp:positionH relativeFrom="margin">
                <wp:align>right</wp:align>
              </wp:positionH>
              <wp:positionV relativeFrom="paragraph">
                <wp:posOffset>333375</wp:posOffset>
              </wp:positionV>
              <wp:extent cx="5925312" cy="0"/>
              <wp:effectExtent l="0" t="0" r="37465" b="19050"/>
              <wp:wrapNone/>
              <wp:docPr id="22" name="Line 15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5925312" cy="0"/>
                      </a:xfrm>
                      <a:prstGeom prst="line">
                        <a:avLst/>
                      </a:prstGeom>
                      <a:ln w="9525">
                        <a:solidFill>
                          <a:schemeClr val="bg1">
                            <a:lumMod val="50000"/>
                          </a:schemeClr>
                        </a:solidFill>
                        <a:round/>
                        <a:headEnd/>
                        <a:tailEnd/>
                      </a:ln>
                    </wps:spPr>
                    <wps:style>
                      <a:lnRef idx="1">
                        <a:schemeClr val="accent1"/>
                      </a:lnRef>
                      <a:fillRef idx="0">
                        <a:schemeClr val="accent1"/>
                      </a:fillRef>
                      <a:effectRef idx="0">
                        <a:schemeClr val="accent1"/>
                      </a:effectRef>
                      <a:fontRef idx="minor">
                        <a:schemeClr val="tx1"/>
                      </a:fontRef>
                    </wps:style>
                    <wps:bodyPr/>
                  </wps:wsp>
                </a:graphicData>
              </a:graphic>
              <wp14:sizeRelH relativeFrom="page">
                <wp14:pctWidth>0</wp14:pctWidth>
              </wp14:sizeRelH>
              <wp14:sizeRelV relativeFrom="page">
                <wp14:pctHeight>0</wp14:pctHeight>
              </wp14:sizeRelV>
            </wp:anchor>
          </w:drawing>
        </mc:Choice>
        <mc:Fallback xmlns:a="http://schemas.openxmlformats.org/drawingml/2006/main" xmlns:arto="http://schemas.microsoft.com/office/word/2006/arto"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w:pict w14:anchorId="69846F95">
            <v:line id="Line 150" style="position:absolute;z-index:251658278;visibility:visible;mso-wrap-style:square;mso-width-percent:0;mso-height-percent:0;mso-wrap-distance-left:9pt;mso-wrap-distance-top:-3e-5mm;mso-wrap-distance-right:9pt;mso-wrap-distance-bottom:-3e-5mm;mso-position-horizontal:right;mso-position-horizontal-relative:margin;mso-position-vertical:absolute;mso-position-vertical-relative:text;mso-width-percent:0;mso-height-percent:0;mso-width-relative:page;mso-height-relative:page" o:spid="_x0000_s1026" strokecolor="#7f7f7f [1612]" from="415.35pt,26.25pt" to="881.9pt,26.25pt" w14:anchorId="1610A3B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">
              <w10:wrap anchorx="margin"/>
            </v:line>
          </w:pict>
        </mc:Fallback>
      </mc:AlternateContent>
    </w:r>
    <w:r w:rsidRPr="006D45BA">
      <w:rPr>
        <w:b/>
        <w:color w:val="7F7F7F" w:themeColor="text1" w:themeTint="80"/>
      </w:rPr>
      <w:t xml:space="preserve"> </w:t>
    </w:r>
    <w:r>
      <w:rPr>
        <w:b/>
        <w:color w:val="7F7F7F" w:themeColor="text1" w:themeTint="80"/>
        <w:lang w:eastAsia="x-none"/>
      </w:rPr>
      <w:t>Background and Scope of Study</w:t>
    </w:r>
  </w:p>
</w:hdr>
</file>

<file path=word/header9.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13311A22" w14:textId="02F37B8F" w:rsidR="00B71C51" w:rsidRPr="00A81446" w:rsidRDefault="00B71C51" w:rsidP="00152759">
    <w:pPr>
      <w:pStyle w:val="Header"/>
      <w:spacing w:before="180" w:line="360" w:lineRule="auto"/>
      <w:jc w:val="right"/>
      <w:rPr>
        <w:sz w:val="22"/>
      </w:rPr>
    </w:pPr>
    <w:r w:rsidRPr="00152759">
      <w:rPr>
        <w:noProof/>
        <w:sz w:val="28"/>
      </w:rPr>
      <mc:AlternateContent>
        <mc:Choice Requires="wps">
          <w:drawing>
            <wp:anchor distT="0" distB="0" distL="114300" distR="114300" simplePos="0" relativeHeight="251658277" behindDoc="0" locked="0" layoutInCell="1" allowOverlap="1" wp14:anchorId="5DC4573A" wp14:editId="505333D8">
              <wp:simplePos x="0" y="0"/>
              <wp:positionH relativeFrom="page">
                <wp:posOffset>6458041</wp:posOffset>
              </wp:positionH>
              <wp:positionV relativeFrom="page">
                <wp:posOffset>354330</wp:posOffset>
              </wp:positionV>
              <wp:extent cx="1307592" cy="137160"/>
              <wp:effectExtent l="0" t="0" r="6985" b="0"/>
              <wp:wrapNone/>
              <wp:docPr id="39" name="Rectangle 39"/>
              <wp:cNvGraphicFramePr/>
              <a:graphic xmlns:a="http://schemas.openxmlformats.org/drawingml/2006/main">
                <a:graphicData uri="http://schemas.microsoft.com/office/word/2010/wordprocessingShape">
                  <wps:wsp>
                    <wps:cNvSpPr/>
                    <wps:spPr>
                      <a:xfrm>
                        <a:off x="0" y="0"/>
                        <a:ext cx="1307592" cy="137160"/>
                      </a:xfrm>
                      <a:prstGeom prst="rect">
                        <a:avLst/>
                      </a:prstGeom>
                      <a:solidFill>
                        <a:schemeClr val="bg1">
                          <a:lumMod val="65000"/>
                        </a:schemeClr>
                      </a:solidFill>
                      <a:ln>
                        <a:noFill/>
                      </a:ln>
                      <a:effectLst/>
                    </wps:spPr>
                    <wps:style>
                      <a:lnRef idx="1">
                        <a:schemeClr val="accent1"/>
                      </a:lnRef>
                      <a:fillRef idx="3">
                        <a:schemeClr val="accent1"/>
                      </a:fillRef>
                      <a:effectRef idx="2">
                        <a:schemeClr val="accent1"/>
                      </a:effectRef>
                      <a:fontRef idx="minor">
                        <a:schemeClr val="lt1"/>
                      </a:fontRef>
                    </wps:style>
                    <wps:txbx>
                      <w:txbxContent>
                        <w:p w14:paraId="03490518" w14:textId="77777777" w:rsidR="00B71C51" w:rsidRPr="001D1D65" w:rsidRDefault="00B71C51" w:rsidP="00A81446">
                          <w:pPr>
                            <w:jc w:val="center"/>
                            <w:rPr>
                              <w:color w:val="808080" w:themeColor="background1" w:themeShade="80"/>
                              <w14:textOutline w14:w="9525" w14:cap="rnd" w14:cmpd="sng" w14:algn="ctr">
                                <w14:noFill/>
                                <w14:prstDash w14:val="solid"/>
                                <w14:bevel/>
                              </w14:textOutline>
                            </w:rPr>
                          </w:pPr>
                          <w:r w:rsidRPr="001D1D65">
                            <w:rPr>
                              <w:color w:val="808080" w:themeColor="background1" w:themeShade="80"/>
                              <w14:textOutline w14:w="9525" w14:cap="rnd" w14:cmpd="sng" w14:algn="ctr">
                                <w14:noFill/>
                                <w14:prstDash w14:val="solid"/>
                                <w14:bevel/>
                              </w14:textOutline>
                            </w:rPr>
                            <w:t>/</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w:pict>
            <v:rect w14:anchorId="5DC4573A" id="Rectangle 39" o:spid="_x0000_s1037" style="position:absolute;left:0;text-align:left;margin-left:508.5pt;margin-top:27.9pt;width:102.95pt;height:10.8pt;z-index:251658277;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" fillcolor="#a5a5a5 [2092]" stroked="f">
              <v:textbox>
                <w:txbxContent>
                  <w:p w14:paraId="03490518" w14:textId="77777777" w:rsidR="00B71C51" w:rsidRPr="001D1D65" w:rsidRDefault="00B71C51" w:rsidP="00A81446">
                    <w:pPr>
                      <w:jc w:val="center"/>
                      <w:rPr>
                        <w:color w:val="808080" w:themeColor="background1" w:themeShade="80"/>
                        <w14:textOutline w14:w="9525" w14:cap="rnd" w14:cmpd="sng" w14:algn="ctr">
                          <w14:noFill/>
                          <w14:prstDash w14:val="solid"/>
                          <w14:bevel/>
                        </w14:textOutline>
                      </w:rPr>
                    </w:pPr>
                    <w:r w:rsidRPr="001D1D65">
                      <w:rPr>
                        <w:color w:val="808080" w:themeColor="background1" w:themeShade="80"/>
                        <w14:textOutline w14:w="9525" w14:cap="rnd" w14:cmpd="sng" w14:algn="ctr">
                          <w14:noFill/>
                          <w14:prstDash w14:val="solid"/>
                          <w14:bevel/>
                        </w14:textOutline>
                      </w:rPr>
                      <w:t>/</w:t>
                    </w:r>
                  </w:p>
                </w:txbxContent>
              </v:textbox>
              <w10:wrap anchorx="page" anchory="page"/>
            </v:rect>
          </w:pict>
        </mc:Fallback>
      </mc:AlternateContent>
    </w:r>
    <w:r w:rsidRPr="00152759">
      <w:rPr>
        <w:b/>
        <w:noProof/>
        <w:sz w:val="28"/>
      </w:rPr>
      <mc:AlternateContent>
        <mc:Choice Requires="wps">
          <w:drawing>
            <wp:anchor distT="4294967295" distB="4294967295" distL="114300" distR="114300" simplePos="0" relativeHeight="251658276" behindDoc="0" locked="0" layoutInCell="1" allowOverlap="1" wp14:anchorId="22F8D544" wp14:editId="3F1A457B">
              <wp:simplePos x="0" y="0"/>
              <wp:positionH relativeFrom="margin">
                <wp:align>left</wp:align>
              </wp:positionH>
              <wp:positionV relativeFrom="paragraph">
                <wp:posOffset>329565</wp:posOffset>
              </wp:positionV>
              <wp:extent cx="5971032" cy="0"/>
              <wp:effectExtent l="0" t="0" r="10795" b="19050"/>
              <wp:wrapNone/>
              <wp:docPr id="40" name="Line 15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5971032" cy="0"/>
                      </a:xfrm>
                      <a:prstGeom prst="line">
                        <a:avLst/>
                      </a:prstGeom>
                      <a:noFill/>
                      <a:ln w="12700">
                        <a:solidFill>
                          <a:schemeClr val="bg1">
                            <a:lumMod val="50000"/>
                          </a:schemeClr>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a="http://schemas.openxmlformats.org/drawingml/2006/main" xmlns:a14="http://schemas.microsoft.com/office/drawing/2010/main" xmlns:arto="http://schemas.microsoft.com/office/word/2006/arto"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w:pict w14:anchorId="72B5BA2C">
            <v:line id="Line 150" style="position:absolute;flip:x;z-index:251658280;visibility:visible;mso-wrap-style:square;mso-width-percent:0;mso-height-percent:0;mso-wrap-distance-left:9pt;mso-wrap-distance-top:-3e-5mm;mso-wrap-distance-right:9pt;mso-wrap-distance-bottom:-3e-5mm;mso-position-horizontal:left;mso-position-horizontal-relative:margin;mso-position-vertical:absolute;mso-position-vertical-relative:text;mso-width-percent:0;mso-height-percent:0;mso-width-relative:page;mso-height-relative:page" o:spid="_x0000_s1026" strokecolor="#7f7f7f [1612]" strokeweight="1pt" from="0,25.95pt" to="470.15pt,25.95pt" w14:anchorId="6262370C"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">
              <w10:wrap anchorx="margin"/>
            </v:line>
          </w:pict>
        </mc:Fallback>
      </mc:AlternateContent>
    </w:r>
    <w:r w:rsidRPr="002025CB">
      <w:rPr>
        <w:b/>
        <w:color w:val="7F7F7F" w:themeColor="text1" w:themeTint="80"/>
        <w:lang w:eastAsia="x-none"/>
      </w:rPr>
      <w:t xml:space="preserve"> </w:t>
    </w:r>
    <w:r>
      <w:rPr>
        <w:b/>
        <w:color w:val="7F7F7F" w:themeColor="text1" w:themeTint="80"/>
        <w:lang w:eastAsia="x-none"/>
      </w:rPr>
      <w:t>Background and Scope of Study</w:t>
    </w:r>
    <w:r w:rsidDel="0082393F">
      <w:rPr>
        <w:b/>
        <w:color w:val="7F7F7F" w:themeColor="text1" w:themeTint="80"/>
        <w:sz w:val="22"/>
      </w:rPr>
      <w:t xml:space="preserve"> </w:t>
    </w:r>
  </w:p>
</w:hdr>
</file>

<file path=word/header10.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3E186BBA" w14:textId="7697BD61" w:rsidR="00962FB5" w:rsidRPr="00772272" w:rsidRDefault="00962FB5" w:rsidP="002025CB">
    <w:pPr>
      <w:pStyle w:val="Header"/>
      <w:spacing w:before="180" w:line="360" w:lineRule="auto"/>
      <w:rPr>
        <w:b/>
        <w:color w:val="7F7F7F" w:themeColor="text1" w:themeTint="80"/>
        <w:lang w:eastAsia="x-none"/>
      </w:rPr>
    </w:pPr>
    <w:r w:rsidRPr="004F51E1">
      <w:rPr>
        <w:b/>
        <w:noProof/>
        <w:color w:val="7F7F7F" w:themeColor="text1" w:themeTint="80"/>
        <w:sz w:val="22"/>
      </w:rPr>
      <mc:AlternateContent>
        <mc:Choice Requires="wps">
          <w:drawing>
            <wp:anchor distT="0" distB="0" distL="114300" distR="114300" simplePos="0" relativeHeight="251658252" behindDoc="0" locked="0" layoutInCell="1" allowOverlap="1" wp14:anchorId="49E981EE" wp14:editId="1E2A6C9E">
              <wp:simplePos x="0" y="0"/>
              <wp:positionH relativeFrom="page">
                <wp:posOffset>6894</wp:posOffset>
              </wp:positionH>
              <wp:positionV relativeFrom="page">
                <wp:posOffset>356870</wp:posOffset>
              </wp:positionV>
              <wp:extent cx="1307592" cy="137160"/>
              <wp:effectExtent l="0" t="0" r="6985" b="0"/>
              <wp:wrapNone/>
              <wp:docPr id="21" name="Rectangle 21"/>
              <wp:cNvGraphicFramePr/>
              <a:graphic xmlns:a="http://schemas.openxmlformats.org/drawingml/2006/main">
                <a:graphicData uri="http://schemas.microsoft.com/office/word/2010/wordprocessingShape">
                  <wps:wsp>
                    <wps:cNvSpPr/>
                    <wps:spPr>
                      <a:xfrm>
                        <a:off x="0" y="0"/>
                        <a:ext cx="1307592" cy="137160"/>
                      </a:xfrm>
                      <a:prstGeom prst="rect">
                        <a:avLst/>
                      </a:prstGeom>
                      <a:solidFill>
                        <a:schemeClr val="bg1">
                          <a:lumMod val="65000"/>
                        </a:schemeClr>
                      </a:solidFill>
                      <a:ln>
                        <a:noFill/>
                      </a:ln>
                      <a:effectLst/>
                    </wps:spPr>
                    <wps:style>
                      <a:lnRef idx="1">
                        <a:schemeClr val="accent1"/>
                      </a:lnRef>
                      <a:fillRef idx="3">
                        <a:schemeClr val="accent1"/>
                      </a:fillRef>
                      <a:effectRef idx="2">
                        <a:schemeClr val="accent1"/>
                      </a:effectRef>
                      <a:fontRef idx="minor">
                        <a:schemeClr val="lt1"/>
                      </a:fontRef>
                    </wps:style>
                    <wps:txbx>
                      <w:txbxContent>
                        <w:p w14:paraId="21462D12" w14:textId="77777777" w:rsidR="00962FB5" w:rsidRDefault="00962FB5" w:rsidP="00A81446">
                          <w:pPr>
                            <w:jc w:val="center"/>
                          </w:pPr>
                          <w:r>
                            <w:t>/</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w:pict>
            <v:rect w14:anchorId="49E981EE" id="Rectangle 21" o:spid="_x0000_s1038" style="position:absolute;margin-left:.55pt;margin-top:28.1pt;width:102.95pt;height:10.8pt;z-index:25165825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" fillcolor="#a5a5a5 [2092]" stroked="f">
              <v:textbox>
                <w:txbxContent>
                  <w:p w14:paraId="21462D12" w14:textId="77777777" w:rsidR="00962FB5" w:rsidRDefault="00962FB5" w:rsidP="00A81446">
                    <w:pPr>
                      <w:jc w:val="center"/>
                    </w:pPr>
                    <w:r>
                      <w:t>/</w:t>
                    </w:r>
                  </w:p>
                </w:txbxContent>
              </v:textbox>
              <w10:wrap anchorx="page" anchory="page"/>
            </v:rect>
          </w:pict>
        </mc:Fallback>
      </mc:AlternateContent>
    </w:r>
    <w:r w:rsidRPr="00772272">
      <w:rPr>
        <w:b/>
        <w:noProof/>
        <w:color w:val="7F7F7F" w:themeColor="text1" w:themeTint="80"/>
        <w:sz w:val="22"/>
      </w:rPr>
      <mc:AlternateContent>
        <mc:Choice Requires="wps">
          <w:drawing>
            <wp:anchor distT="4294967295" distB="4294967295" distL="114300" distR="114300" simplePos="0" relativeHeight="251658251" behindDoc="0" locked="0" layoutInCell="1" allowOverlap="1" wp14:anchorId="5C95A51D" wp14:editId="73EC40D1">
              <wp:simplePos x="0" y="0"/>
              <wp:positionH relativeFrom="margin">
                <wp:align>right</wp:align>
              </wp:positionH>
              <wp:positionV relativeFrom="paragraph">
                <wp:posOffset>333375</wp:posOffset>
              </wp:positionV>
              <wp:extent cx="5925312" cy="0"/>
              <wp:effectExtent l="0" t="0" r="37465" b="19050"/>
              <wp:wrapNone/>
              <wp:docPr id="23" name="Line 15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5925312" cy="0"/>
                      </a:xfrm>
                      <a:prstGeom prst="line">
                        <a:avLst/>
                      </a:prstGeom>
                      <a:ln w="9525">
                        <a:solidFill>
                          <a:schemeClr val="bg1">
                            <a:lumMod val="50000"/>
                          </a:schemeClr>
                        </a:solidFill>
                        <a:round/>
                        <a:headEnd/>
                        <a:tailEnd/>
                      </a:ln>
                    </wps:spPr>
                    <wps:style>
                      <a:lnRef idx="1">
                        <a:schemeClr val="accent1"/>
                      </a:lnRef>
                      <a:fillRef idx="0">
                        <a:schemeClr val="accent1"/>
                      </a:fillRef>
                      <a:effectRef idx="0">
                        <a:schemeClr val="accent1"/>
                      </a:effectRef>
                      <a:fontRef idx="minor">
                        <a:schemeClr val="tx1"/>
                      </a:fontRef>
                    </wps:style>
                    <wps:bodyPr/>
                  </wps:wsp>
                </a:graphicData>
              </a:graphic>
              <wp14:sizeRelH relativeFrom="page">
                <wp14:pctWidth>0</wp14:pctWidth>
              </wp14:sizeRelH>
              <wp14:sizeRelV relativeFrom="page">
                <wp14:pctHeight>0</wp14:pctHeight>
              </wp14:sizeRelV>
            </wp:anchor>
          </w:drawing>
        </mc:Choice>
        <mc:Fallback xmlns:a="http://schemas.openxmlformats.org/drawingml/2006/main" xmlns:arto="http://schemas.microsoft.com/office/word/2006/arto"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w:pict w14:anchorId="005468E8">
            <v:line id="Line 150" style="position:absolute;z-index:251658251;visibility:visible;mso-wrap-style:square;mso-width-percent:0;mso-height-percent:0;mso-wrap-distance-left:9pt;mso-wrap-distance-top:-3e-5mm;mso-wrap-distance-right:9pt;mso-wrap-distance-bottom:-3e-5mm;mso-position-horizontal:right;mso-position-horizontal-relative:margin;mso-position-vertical:absolute;mso-position-vertical-relative:text;mso-width-percent:0;mso-height-percent:0;mso-width-relative:page;mso-height-relative:page" o:spid="_x0000_s1026" strokecolor="#7f7f7f [1612]" from="415.35pt,26.25pt" to="881.9pt,26.25pt" w14:anchorId="14C7737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">
              <w10:wrap anchorx="margin"/>
            </v:line>
          </w:pict>
        </mc:Fallback>
      </mc:AlternateContent>
    </w:r>
    <w:r w:rsidRPr="006D45BA">
      <w:rPr>
        <w:b/>
        <w:color w:val="7F7F7F" w:themeColor="text1" w:themeTint="80"/>
      </w:rPr>
      <w:t xml:space="preserve"> </w:t>
    </w:r>
    <w:r w:rsidR="00BD0392" w:rsidRPr="00BD0392">
      <w:rPr>
        <w:b/>
        <w:color w:val="7F7F7F" w:themeColor="text1" w:themeTint="80"/>
        <w:lang w:eastAsia="x-none"/>
      </w:rPr>
      <w:t>Impact of MOPR on Financial Risk for Investors</w:t>
    </w:r>
  </w:p>
</w:hdr>
</file>

<file path=word/header1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71FC065A" w14:textId="7A6C110C" w:rsidR="00962FB5" w:rsidRPr="00A81446" w:rsidRDefault="00962FB5" w:rsidP="00152759">
    <w:pPr>
      <w:pStyle w:val="Header"/>
      <w:spacing w:before="180" w:line="360" w:lineRule="auto"/>
      <w:jc w:val="right"/>
      <w:rPr>
        <w:sz w:val="22"/>
      </w:rPr>
    </w:pPr>
    <w:r w:rsidRPr="00152759">
      <w:rPr>
        <w:noProof/>
        <w:sz w:val="28"/>
      </w:rPr>
      <mc:AlternateContent>
        <mc:Choice Requires="wps">
          <w:drawing>
            <wp:anchor distT="0" distB="0" distL="114300" distR="114300" simplePos="0" relativeHeight="251658250" behindDoc="0" locked="0" layoutInCell="1" allowOverlap="1" wp14:anchorId="6C8C9265" wp14:editId="67D91584">
              <wp:simplePos x="0" y="0"/>
              <wp:positionH relativeFrom="page">
                <wp:posOffset>6458041</wp:posOffset>
              </wp:positionH>
              <wp:positionV relativeFrom="page">
                <wp:posOffset>354330</wp:posOffset>
              </wp:positionV>
              <wp:extent cx="1307592" cy="137160"/>
              <wp:effectExtent l="0" t="0" r="6985" b="0"/>
              <wp:wrapNone/>
              <wp:docPr id="19" name="Rectangle 19"/>
              <wp:cNvGraphicFramePr/>
              <a:graphic xmlns:a="http://schemas.openxmlformats.org/drawingml/2006/main">
                <a:graphicData uri="http://schemas.microsoft.com/office/word/2010/wordprocessingShape">
                  <wps:wsp>
                    <wps:cNvSpPr/>
                    <wps:spPr>
                      <a:xfrm>
                        <a:off x="0" y="0"/>
                        <a:ext cx="1307592" cy="137160"/>
                      </a:xfrm>
                      <a:prstGeom prst="rect">
                        <a:avLst/>
                      </a:prstGeom>
                      <a:solidFill>
                        <a:schemeClr val="bg1">
                          <a:lumMod val="65000"/>
                        </a:schemeClr>
                      </a:solidFill>
                      <a:ln>
                        <a:noFill/>
                      </a:ln>
                      <a:effectLst/>
                    </wps:spPr>
                    <wps:style>
                      <a:lnRef idx="1">
                        <a:schemeClr val="accent1"/>
                      </a:lnRef>
                      <a:fillRef idx="3">
                        <a:schemeClr val="accent1"/>
                      </a:fillRef>
                      <a:effectRef idx="2">
                        <a:schemeClr val="accent1"/>
                      </a:effectRef>
                      <a:fontRef idx="minor">
                        <a:schemeClr val="lt1"/>
                      </a:fontRef>
                    </wps:style>
                    <wps:txbx>
                      <w:txbxContent>
                        <w:p w14:paraId="4340C3B2" w14:textId="77777777" w:rsidR="00962FB5" w:rsidRPr="001D1D65" w:rsidRDefault="00962FB5" w:rsidP="00A81446">
                          <w:pPr>
                            <w:jc w:val="center"/>
                            <w:rPr>
                              <w:color w:val="808080" w:themeColor="background1" w:themeShade="80"/>
                              <w14:textOutline w14:w="9525" w14:cap="rnd" w14:cmpd="sng" w14:algn="ctr">
                                <w14:noFill/>
                                <w14:prstDash w14:val="solid"/>
                                <w14:bevel/>
                              </w14:textOutline>
                            </w:rPr>
                          </w:pPr>
                          <w:r w:rsidRPr="001D1D65">
                            <w:rPr>
                              <w:color w:val="808080" w:themeColor="background1" w:themeShade="80"/>
                              <w14:textOutline w14:w="9525" w14:cap="rnd" w14:cmpd="sng" w14:algn="ctr">
                                <w14:noFill/>
                                <w14:prstDash w14:val="solid"/>
                                <w14:bevel/>
                              </w14:textOutline>
                            </w:rPr>
                            <w:t>/</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w:pict>
            <v:rect w14:anchorId="6C8C9265" id="Rectangle 19" o:spid="_x0000_s1039" style="position:absolute;left:0;text-align:left;margin-left:508.5pt;margin-top:27.9pt;width:102.95pt;height:10.8pt;z-index:25165825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" fillcolor="#a5a5a5 [2092]" stroked="f">
              <v:textbox>
                <w:txbxContent>
                  <w:p w14:paraId="4340C3B2" w14:textId="77777777" w:rsidR="00962FB5" w:rsidRPr="001D1D65" w:rsidRDefault="00962FB5" w:rsidP="00A81446">
                    <w:pPr>
                      <w:jc w:val="center"/>
                      <w:rPr>
                        <w:color w:val="808080" w:themeColor="background1" w:themeShade="80"/>
                        <w14:textOutline w14:w="9525" w14:cap="rnd" w14:cmpd="sng" w14:algn="ctr">
                          <w14:noFill/>
                          <w14:prstDash w14:val="solid"/>
                          <w14:bevel/>
                        </w14:textOutline>
                      </w:rPr>
                    </w:pPr>
                    <w:r w:rsidRPr="001D1D65">
                      <w:rPr>
                        <w:color w:val="808080" w:themeColor="background1" w:themeShade="80"/>
                        <w14:textOutline w14:w="9525" w14:cap="rnd" w14:cmpd="sng" w14:algn="ctr">
                          <w14:noFill/>
                          <w14:prstDash w14:val="solid"/>
                          <w14:bevel/>
                        </w14:textOutline>
                      </w:rPr>
                      <w:t>/</w:t>
                    </w:r>
                  </w:p>
                </w:txbxContent>
              </v:textbox>
              <w10:wrap anchorx="page" anchory="page"/>
            </v:rect>
          </w:pict>
        </mc:Fallback>
      </mc:AlternateContent>
    </w:r>
    <w:r w:rsidRPr="00152759">
      <w:rPr>
        <w:b/>
        <w:noProof/>
        <w:sz w:val="28"/>
      </w:rPr>
      <mc:AlternateContent>
        <mc:Choice Requires="wps">
          <w:drawing>
            <wp:anchor distT="4294967295" distB="4294967295" distL="114300" distR="114300" simplePos="0" relativeHeight="251658249" behindDoc="0" locked="0" layoutInCell="1" allowOverlap="1" wp14:anchorId="0E1B474B" wp14:editId="478AAFA9">
              <wp:simplePos x="0" y="0"/>
              <wp:positionH relativeFrom="margin">
                <wp:align>left</wp:align>
              </wp:positionH>
              <wp:positionV relativeFrom="paragraph">
                <wp:posOffset>329565</wp:posOffset>
              </wp:positionV>
              <wp:extent cx="5971032" cy="0"/>
              <wp:effectExtent l="0" t="0" r="10795" b="19050"/>
              <wp:wrapNone/>
              <wp:docPr id="20" name="Line 15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5971032" cy="0"/>
                      </a:xfrm>
                      <a:prstGeom prst="line">
                        <a:avLst/>
                      </a:prstGeom>
                      <a:noFill/>
                      <a:ln w="12700">
                        <a:solidFill>
                          <a:schemeClr val="bg1">
                            <a:lumMod val="50000"/>
                          </a:schemeClr>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a="http://schemas.openxmlformats.org/drawingml/2006/main" xmlns:a14="http://schemas.microsoft.com/office/drawing/2010/main" xmlns:arto="http://schemas.microsoft.com/office/word/2006/arto"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w:pict w14:anchorId="7656CB3E">
            <v:line id="Line 150" style="position:absolute;flip:x;z-index:251658249;visibility:visible;mso-wrap-style:square;mso-width-percent:0;mso-height-percent:0;mso-wrap-distance-left:9pt;mso-wrap-distance-top:-3e-5mm;mso-wrap-distance-right:9pt;mso-wrap-distance-bottom:-3e-5mm;mso-position-horizontal:left;mso-position-horizontal-relative:margin;mso-position-vertical:absolute;mso-position-vertical-relative:text;mso-width-percent:0;mso-height-percent:0;mso-width-relative:page;mso-height-relative:page" o:spid="_x0000_s1026" strokecolor="#7f7f7f [1612]" strokeweight="1pt" from="0,25.95pt" to="470.15pt,25.95pt" w14:anchorId="58A6571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">
              <w10:wrap anchorx="margin"/>
            </v:line>
          </w:pict>
        </mc:Fallback>
      </mc:AlternateContent>
    </w:r>
    <w:r w:rsidRPr="002025CB">
      <w:rPr>
        <w:b/>
        <w:color w:val="7F7F7F" w:themeColor="text1" w:themeTint="80"/>
        <w:lang w:eastAsia="x-none"/>
      </w:rPr>
      <w:t xml:space="preserve"> </w:t>
    </w:r>
    <w:r w:rsidR="00BD0392">
      <w:rPr>
        <w:b/>
        <w:color w:val="7F7F7F" w:themeColor="text1" w:themeTint="80"/>
        <w:lang w:eastAsia="x-none"/>
      </w:rPr>
      <w:t>Impact of MOPR on</w:t>
    </w:r>
    <w:r w:rsidR="00B71C51" w:rsidRPr="00B71C51">
      <w:rPr>
        <w:b/>
        <w:color w:val="7F7F7F" w:themeColor="text1" w:themeTint="80"/>
        <w:lang w:eastAsia="x-none"/>
      </w:rPr>
      <w:t xml:space="preserve"> Financial Risk for Investors</w:t>
    </w:r>
    <w:r w:rsidDel="0082393F">
      <w:rPr>
        <w:b/>
        <w:color w:val="7F7F7F" w:themeColor="text1" w:themeTint="80"/>
        <w:sz w:val="22"/>
      </w:rPr>
      <w:t xml:space="preserve"> </w:t>
    </w:r>
  </w:p>
</w:hdr>
</file>

<file path=word/header1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1DA507F2" w14:textId="40D17D4A" w:rsidR="00962FB5" w:rsidRPr="00772272" w:rsidRDefault="00962FB5" w:rsidP="002025CB">
    <w:pPr>
      <w:pStyle w:val="Header"/>
      <w:spacing w:before="180" w:line="360" w:lineRule="auto"/>
      <w:rPr>
        <w:b/>
        <w:color w:val="7F7F7F" w:themeColor="text1" w:themeTint="80"/>
        <w:lang w:eastAsia="x-none"/>
      </w:rPr>
    </w:pPr>
    <w:r w:rsidRPr="004F51E1">
      <w:rPr>
        <w:b/>
        <w:noProof/>
        <w:color w:val="7F7F7F" w:themeColor="text1" w:themeTint="80"/>
        <w:sz w:val="22"/>
      </w:rPr>
      <mc:AlternateContent>
        <mc:Choice Requires="wps">
          <w:drawing>
            <wp:anchor distT="0" distB="0" distL="114300" distR="114300" simplePos="0" relativeHeight="251658256" behindDoc="0" locked="0" layoutInCell="1" allowOverlap="1" wp14:anchorId="5F2E96D8" wp14:editId="195DC4B2">
              <wp:simplePos x="0" y="0"/>
              <wp:positionH relativeFrom="page">
                <wp:posOffset>6894</wp:posOffset>
              </wp:positionH>
              <wp:positionV relativeFrom="page">
                <wp:posOffset>356870</wp:posOffset>
              </wp:positionV>
              <wp:extent cx="1307592" cy="137160"/>
              <wp:effectExtent l="0" t="0" r="6985" b="0"/>
              <wp:wrapNone/>
              <wp:docPr id="452" name="Rectangle 452"/>
              <wp:cNvGraphicFramePr/>
              <a:graphic xmlns:a="http://schemas.openxmlformats.org/drawingml/2006/main">
                <a:graphicData uri="http://schemas.microsoft.com/office/word/2010/wordprocessingShape">
                  <wps:wsp>
                    <wps:cNvSpPr/>
                    <wps:spPr>
                      <a:xfrm>
                        <a:off x="0" y="0"/>
                        <a:ext cx="1307592" cy="137160"/>
                      </a:xfrm>
                      <a:prstGeom prst="rect">
                        <a:avLst/>
                      </a:prstGeom>
                      <a:solidFill>
                        <a:schemeClr val="bg1">
                          <a:lumMod val="65000"/>
                        </a:schemeClr>
                      </a:solidFill>
                      <a:ln>
                        <a:noFill/>
                      </a:ln>
                      <a:effectLst/>
                    </wps:spPr>
                    <wps:style>
                      <a:lnRef idx="1">
                        <a:schemeClr val="accent1"/>
                      </a:lnRef>
                      <a:fillRef idx="3">
                        <a:schemeClr val="accent1"/>
                      </a:fillRef>
                      <a:effectRef idx="2">
                        <a:schemeClr val="accent1"/>
                      </a:effectRef>
                      <a:fontRef idx="minor">
                        <a:schemeClr val="lt1"/>
                      </a:fontRef>
                    </wps:style>
                    <wps:txbx>
                      <w:txbxContent>
                        <w:p w14:paraId="202858B7" w14:textId="77777777" w:rsidR="00962FB5" w:rsidRDefault="00962FB5" w:rsidP="00A81446">
                          <w:pPr>
                            <w:jc w:val="center"/>
                          </w:pPr>
                          <w:r>
                            <w:t>/</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w:pict>
            <v:rect w14:anchorId="5F2E96D8" id="Rectangle 452" o:spid="_x0000_s1040" style="position:absolute;margin-left:.55pt;margin-top:28.1pt;width:102.95pt;height:10.8pt;z-index:25165825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" fillcolor="#a5a5a5 [2092]" stroked="f">
              <v:textbox>
                <w:txbxContent>
                  <w:p w14:paraId="202858B7" w14:textId="77777777" w:rsidR="00962FB5" w:rsidRDefault="00962FB5" w:rsidP="00A81446">
                    <w:pPr>
                      <w:jc w:val="center"/>
                    </w:pPr>
                    <w:r>
                      <w:t>/</w:t>
                    </w:r>
                  </w:p>
                </w:txbxContent>
              </v:textbox>
              <w10:wrap anchorx="page" anchory="page"/>
            </v:rect>
          </w:pict>
        </mc:Fallback>
      </mc:AlternateContent>
    </w:r>
    <w:r w:rsidRPr="00772272">
      <w:rPr>
        <w:b/>
        <w:noProof/>
        <w:color w:val="7F7F7F" w:themeColor="text1" w:themeTint="80"/>
        <w:sz w:val="22"/>
      </w:rPr>
      <mc:AlternateContent>
        <mc:Choice Requires="wps">
          <w:drawing>
            <wp:anchor distT="4294967295" distB="4294967295" distL="114300" distR="114300" simplePos="0" relativeHeight="251658255" behindDoc="0" locked="0" layoutInCell="1" allowOverlap="1" wp14:anchorId="3D4FAD8A" wp14:editId="34C16EE9">
              <wp:simplePos x="0" y="0"/>
              <wp:positionH relativeFrom="margin">
                <wp:align>right</wp:align>
              </wp:positionH>
              <wp:positionV relativeFrom="paragraph">
                <wp:posOffset>333375</wp:posOffset>
              </wp:positionV>
              <wp:extent cx="5925312" cy="0"/>
              <wp:effectExtent l="0" t="0" r="37465" b="19050"/>
              <wp:wrapNone/>
              <wp:docPr id="453" name="Line 15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5925312" cy="0"/>
                      </a:xfrm>
                      <a:prstGeom prst="line">
                        <a:avLst/>
                      </a:prstGeom>
                      <a:ln w="9525">
                        <a:solidFill>
                          <a:schemeClr val="bg1">
                            <a:lumMod val="50000"/>
                          </a:schemeClr>
                        </a:solidFill>
                        <a:round/>
                        <a:headEnd/>
                        <a:tailEnd/>
                      </a:ln>
                    </wps:spPr>
                    <wps:style>
                      <a:lnRef idx="1">
                        <a:schemeClr val="accent1"/>
                      </a:lnRef>
                      <a:fillRef idx="0">
                        <a:schemeClr val="accent1"/>
                      </a:fillRef>
                      <a:effectRef idx="0">
                        <a:schemeClr val="accent1"/>
                      </a:effectRef>
                      <a:fontRef idx="minor">
                        <a:schemeClr val="tx1"/>
                      </a:fontRef>
                    </wps:style>
                    <wps:bodyPr/>
                  </wps:wsp>
                </a:graphicData>
              </a:graphic>
              <wp14:sizeRelH relativeFrom="page">
                <wp14:pctWidth>0</wp14:pctWidth>
              </wp14:sizeRelH>
              <wp14:sizeRelV relativeFrom="page">
                <wp14:pctHeight>0</wp14:pctHeight>
              </wp14:sizeRelV>
            </wp:anchor>
          </w:drawing>
        </mc:Choice>
        <mc:Fallback xmlns:a="http://schemas.openxmlformats.org/drawingml/2006/main" xmlns:arto="http://schemas.microsoft.com/office/word/2006/arto"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w:pict w14:anchorId="1E70B88A">
            <v:line id="Line 150" style="position:absolute;z-index:251658255;visibility:visible;mso-wrap-style:square;mso-width-percent:0;mso-height-percent:0;mso-wrap-distance-left:9pt;mso-wrap-distance-top:-3e-5mm;mso-wrap-distance-right:9pt;mso-wrap-distance-bottom:-3e-5mm;mso-position-horizontal:right;mso-position-horizontal-relative:margin;mso-position-vertical:absolute;mso-position-vertical-relative:text;mso-width-percent:0;mso-height-percent:0;mso-width-relative:page;mso-height-relative:page" o:spid="_x0000_s1026" strokecolor="#7f7f7f [1612]" from="415.35pt,26.25pt" to="881.9pt,26.25pt" w14:anchorId="7F5D623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">
              <w10:wrap anchorx="margin"/>
            </v:line>
          </w:pict>
        </mc:Fallback>
      </mc:AlternateContent>
    </w:r>
    <w:r w:rsidRPr="006D45BA">
      <w:rPr>
        <w:b/>
        <w:color w:val="7F7F7F" w:themeColor="text1" w:themeTint="80"/>
      </w:rPr>
      <w:t xml:space="preserve"> </w:t>
    </w:r>
    <w:r w:rsidR="0087582A" w:rsidRPr="0087582A">
      <w:rPr>
        <w:b/>
        <w:color w:val="7F7F7F" w:themeColor="text1" w:themeTint="80"/>
        <w:lang w:eastAsia="x-none"/>
      </w:rPr>
      <w:t>Study Methodology</w:t>
    </w:r>
  </w:p>
</w:hdr>
</file>

<file path=word/header13.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4588E4C7" w14:textId="59D6685A" w:rsidR="00962FB5" w:rsidRPr="00A81446" w:rsidRDefault="00962FB5" w:rsidP="00152759">
    <w:pPr>
      <w:pStyle w:val="Header"/>
      <w:spacing w:before="180" w:line="360" w:lineRule="auto"/>
      <w:jc w:val="right"/>
      <w:rPr>
        <w:sz w:val="22"/>
      </w:rPr>
    </w:pPr>
    <w:r w:rsidRPr="00152759">
      <w:rPr>
        <w:noProof/>
        <w:sz w:val="28"/>
      </w:rPr>
      <mc:AlternateContent>
        <mc:Choice Requires="wps">
          <w:drawing>
            <wp:anchor distT="0" distB="0" distL="114300" distR="114300" simplePos="0" relativeHeight="251658254" behindDoc="0" locked="0" layoutInCell="1" allowOverlap="1" wp14:anchorId="2FBD7E7C" wp14:editId="13AA2CDF">
              <wp:simplePos x="0" y="0"/>
              <wp:positionH relativeFrom="page">
                <wp:posOffset>6458041</wp:posOffset>
              </wp:positionH>
              <wp:positionV relativeFrom="page">
                <wp:posOffset>354330</wp:posOffset>
              </wp:positionV>
              <wp:extent cx="1307592" cy="137160"/>
              <wp:effectExtent l="0" t="0" r="6985" b="0"/>
              <wp:wrapNone/>
              <wp:docPr id="449" name="Rectangle 449"/>
              <wp:cNvGraphicFramePr/>
              <a:graphic xmlns:a="http://schemas.openxmlformats.org/drawingml/2006/main">
                <a:graphicData uri="http://schemas.microsoft.com/office/word/2010/wordprocessingShape">
                  <wps:wsp>
                    <wps:cNvSpPr/>
                    <wps:spPr>
                      <a:xfrm>
                        <a:off x="0" y="0"/>
                        <a:ext cx="1307592" cy="137160"/>
                      </a:xfrm>
                      <a:prstGeom prst="rect">
                        <a:avLst/>
                      </a:prstGeom>
                      <a:solidFill>
                        <a:schemeClr val="bg1">
                          <a:lumMod val="65000"/>
                        </a:schemeClr>
                      </a:solidFill>
                      <a:ln>
                        <a:noFill/>
                      </a:ln>
                      <a:effectLst/>
                    </wps:spPr>
                    <wps:style>
                      <a:lnRef idx="1">
                        <a:schemeClr val="accent1"/>
                      </a:lnRef>
                      <a:fillRef idx="3">
                        <a:schemeClr val="accent1"/>
                      </a:fillRef>
                      <a:effectRef idx="2">
                        <a:schemeClr val="accent1"/>
                      </a:effectRef>
                      <a:fontRef idx="minor">
                        <a:schemeClr val="lt1"/>
                      </a:fontRef>
                    </wps:style>
                    <wps:txbx>
                      <w:txbxContent>
                        <w:p w14:paraId="3774FE9C" w14:textId="77777777" w:rsidR="00962FB5" w:rsidRPr="001D1D65" w:rsidRDefault="00962FB5" w:rsidP="00A81446">
                          <w:pPr>
                            <w:jc w:val="center"/>
                            <w:rPr>
                              <w:color w:val="808080" w:themeColor="background1" w:themeShade="80"/>
                              <w14:textOutline w14:w="9525" w14:cap="rnd" w14:cmpd="sng" w14:algn="ctr">
                                <w14:noFill/>
                                <w14:prstDash w14:val="solid"/>
                                <w14:bevel/>
                              </w14:textOutline>
                            </w:rPr>
                          </w:pPr>
                          <w:r w:rsidRPr="001D1D65">
                            <w:rPr>
                              <w:color w:val="808080" w:themeColor="background1" w:themeShade="80"/>
                              <w14:textOutline w14:w="9525" w14:cap="rnd" w14:cmpd="sng" w14:algn="ctr">
                                <w14:noFill/>
                                <w14:prstDash w14:val="solid"/>
                                <w14:bevel/>
                              </w14:textOutline>
                            </w:rPr>
                            <w:t>/</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w:pict>
            <v:rect w14:anchorId="2FBD7E7C" id="Rectangle 449" o:spid="_x0000_s1041" style="position:absolute;left:0;text-align:left;margin-left:508.5pt;margin-top:27.9pt;width:102.95pt;height:10.8pt;z-index:25165825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" fillcolor="#a5a5a5 [2092]" stroked="f">
              <v:textbox>
                <w:txbxContent>
                  <w:p w14:paraId="3774FE9C" w14:textId="77777777" w:rsidR="00962FB5" w:rsidRPr="001D1D65" w:rsidRDefault="00962FB5" w:rsidP="00A81446">
                    <w:pPr>
                      <w:jc w:val="center"/>
                      <w:rPr>
                        <w:color w:val="808080" w:themeColor="background1" w:themeShade="80"/>
                        <w14:textOutline w14:w="9525" w14:cap="rnd" w14:cmpd="sng" w14:algn="ctr">
                          <w14:noFill/>
                          <w14:prstDash w14:val="solid"/>
                          <w14:bevel/>
                        </w14:textOutline>
                      </w:rPr>
                    </w:pPr>
                    <w:r w:rsidRPr="001D1D65">
                      <w:rPr>
                        <w:color w:val="808080" w:themeColor="background1" w:themeShade="80"/>
                        <w14:textOutline w14:w="9525" w14:cap="rnd" w14:cmpd="sng" w14:algn="ctr">
                          <w14:noFill/>
                          <w14:prstDash w14:val="solid"/>
                          <w14:bevel/>
                        </w14:textOutline>
                      </w:rPr>
                      <w:t>/</w:t>
                    </w:r>
                  </w:p>
                </w:txbxContent>
              </v:textbox>
              <w10:wrap anchorx="page" anchory="page"/>
            </v:rect>
          </w:pict>
        </mc:Fallback>
      </mc:AlternateContent>
    </w:r>
    <w:r w:rsidRPr="00152759">
      <w:rPr>
        <w:b/>
        <w:noProof/>
        <w:sz w:val="28"/>
      </w:rPr>
      <mc:AlternateContent>
        <mc:Choice Requires="wps">
          <w:drawing>
            <wp:anchor distT="4294967295" distB="4294967295" distL="114300" distR="114300" simplePos="0" relativeHeight="251658253" behindDoc="0" locked="0" layoutInCell="1" allowOverlap="1" wp14:anchorId="028827FB" wp14:editId="3C7267CE">
              <wp:simplePos x="0" y="0"/>
              <wp:positionH relativeFrom="margin">
                <wp:align>left</wp:align>
              </wp:positionH>
              <wp:positionV relativeFrom="paragraph">
                <wp:posOffset>329565</wp:posOffset>
              </wp:positionV>
              <wp:extent cx="5971032" cy="0"/>
              <wp:effectExtent l="0" t="0" r="10795" b="19050"/>
              <wp:wrapNone/>
              <wp:docPr id="451" name="Line 15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5971032" cy="0"/>
                      </a:xfrm>
                      <a:prstGeom prst="line">
                        <a:avLst/>
                      </a:prstGeom>
                      <a:noFill/>
                      <a:ln w="12700">
                        <a:solidFill>
                          <a:schemeClr val="bg1">
                            <a:lumMod val="50000"/>
                          </a:schemeClr>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a="http://schemas.openxmlformats.org/drawingml/2006/main" xmlns:a14="http://schemas.microsoft.com/office/drawing/2010/main" xmlns:arto="http://schemas.microsoft.com/office/word/2006/arto"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w:pict w14:anchorId="173EE244">
            <v:line id="Line 150" style="position:absolute;flip:x;z-index:251658253;visibility:visible;mso-wrap-style:square;mso-width-percent:0;mso-height-percent:0;mso-wrap-distance-left:9pt;mso-wrap-distance-top:-3e-5mm;mso-wrap-distance-right:9pt;mso-wrap-distance-bottom:-3e-5mm;mso-position-horizontal:left;mso-position-horizontal-relative:margin;mso-position-vertical:absolute;mso-position-vertical-relative:text;mso-width-percent:0;mso-height-percent:0;mso-width-relative:page;mso-height-relative:page" o:spid="_x0000_s1026" strokecolor="#7f7f7f [1612]" strokeweight="1pt" from="0,25.95pt" to="470.15pt,25.95pt" w14:anchorId="11BAB12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">
              <w10:wrap anchorx="margin"/>
            </v:line>
          </w:pict>
        </mc:Fallback>
      </mc:AlternateContent>
    </w:r>
    <w:r w:rsidRPr="002025CB">
      <w:rPr>
        <w:b/>
        <w:color w:val="7F7F7F" w:themeColor="text1" w:themeTint="80"/>
        <w:lang w:eastAsia="x-none"/>
      </w:rPr>
      <w:t xml:space="preserve"> </w:t>
    </w:r>
    <w:r w:rsidR="0087582A" w:rsidRPr="0087582A">
      <w:rPr>
        <w:b/>
        <w:color w:val="7F7F7F" w:themeColor="text1" w:themeTint="80"/>
        <w:lang w:eastAsia="x-none"/>
      </w:rPr>
      <w:t>Study Methodology</w:t>
    </w:r>
    <w:r w:rsidDel="0082393F">
      <w:rPr>
        <w:b/>
        <w:color w:val="7F7F7F" w:themeColor="text1" w:themeTint="80"/>
        <w:sz w:val="22"/>
      </w:rPr>
      <w:t xml:space="preserve"> </w:t>
    </w:r>
  </w:p>
</w:hdr>
</file>

<file path=word/header14.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7F02546B" w14:textId="0693F08D" w:rsidR="00962FB5" w:rsidRPr="00772272" w:rsidRDefault="00962FB5" w:rsidP="002025CB">
    <w:pPr>
      <w:pStyle w:val="Header"/>
      <w:spacing w:before="180" w:line="360" w:lineRule="auto"/>
      <w:rPr>
        <w:b/>
        <w:color w:val="7F7F7F" w:themeColor="text1" w:themeTint="80"/>
        <w:lang w:eastAsia="x-none"/>
      </w:rPr>
    </w:pPr>
    <w:r w:rsidRPr="004F51E1">
      <w:rPr>
        <w:b/>
        <w:noProof/>
        <w:color w:val="7F7F7F" w:themeColor="text1" w:themeTint="80"/>
        <w:sz w:val="22"/>
      </w:rPr>
      <mc:AlternateContent>
        <mc:Choice Requires="wps">
          <w:drawing>
            <wp:anchor distT="0" distB="0" distL="114300" distR="114300" simplePos="0" relativeHeight="251658260" behindDoc="0" locked="0" layoutInCell="1" allowOverlap="1" wp14:anchorId="176D916C" wp14:editId="61709C26">
              <wp:simplePos x="0" y="0"/>
              <wp:positionH relativeFrom="page">
                <wp:posOffset>6894</wp:posOffset>
              </wp:positionH>
              <wp:positionV relativeFrom="page">
                <wp:posOffset>356870</wp:posOffset>
              </wp:positionV>
              <wp:extent cx="1307592" cy="137160"/>
              <wp:effectExtent l="0" t="0" r="6985" b="0"/>
              <wp:wrapNone/>
              <wp:docPr id="462" name="Rectangle 462"/>
              <wp:cNvGraphicFramePr/>
              <a:graphic xmlns:a="http://schemas.openxmlformats.org/drawingml/2006/main">
                <a:graphicData uri="http://schemas.microsoft.com/office/word/2010/wordprocessingShape">
                  <wps:wsp>
                    <wps:cNvSpPr/>
                    <wps:spPr>
                      <a:xfrm>
                        <a:off x="0" y="0"/>
                        <a:ext cx="1307592" cy="137160"/>
                      </a:xfrm>
                      <a:prstGeom prst="rect">
                        <a:avLst/>
                      </a:prstGeom>
                      <a:solidFill>
                        <a:schemeClr val="bg1">
                          <a:lumMod val="65000"/>
                        </a:schemeClr>
                      </a:solidFill>
                      <a:ln>
                        <a:noFill/>
                      </a:ln>
                      <a:effectLst/>
                    </wps:spPr>
                    <wps:style>
                      <a:lnRef idx="1">
                        <a:schemeClr val="accent1"/>
                      </a:lnRef>
                      <a:fillRef idx="3">
                        <a:schemeClr val="accent1"/>
                      </a:fillRef>
                      <a:effectRef idx="2">
                        <a:schemeClr val="accent1"/>
                      </a:effectRef>
                      <a:fontRef idx="minor">
                        <a:schemeClr val="lt1"/>
                      </a:fontRef>
                    </wps:style>
                    <wps:txbx>
                      <w:txbxContent>
                        <w:p w14:paraId="0DA5148D" w14:textId="77777777" w:rsidR="00962FB5" w:rsidRDefault="00962FB5" w:rsidP="00A81446">
                          <w:pPr>
                            <w:jc w:val="center"/>
                          </w:pPr>
                          <w:r>
                            <w:t>/</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w:pict>
            <v:rect w14:anchorId="176D916C" id="Rectangle 462" o:spid="_x0000_s1042" style="position:absolute;margin-left:.55pt;margin-top:28.1pt;width:102.95pt;height:10.8pt;z-index:25165826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" fillcolor="#a5a5a5 [2092]" stroked="f">
              <v:textbox>
                <w:txbxContent>
                  <w:p w14:paraId="0DA5148D" w14:textId="77777777" w:rsidR="00962FB5" w:rsidRDefault="00962FB5" w:rsidP="00A81446">
                    <w:pPr>
                      <w:jc w:val="center"/>
                    </w:pPr>
                    <w:r>
                      <w:t>/</w:t>
                    </w:r>
                  </w:p>
                </w:txbxContent>
              </v:textbox>
              <w10:wrap anchorx="page" anchory="page"/>
            </v:rect>
          </w:pict>
        </mc:Fallback>
      </mc:AlternateContent>
    </w:r>
    <w:r w:rsidRPr="00772272">
      <w:rPr>
        <w:b/>
        <w:noProof/>
        <w:color w:val="7F7F7F" w:themeColor="text1" w:themeTint="80"/>
        <w:sz w:val="22"/>
      </w:rPr>
      <mc:AlternateContent>
        <mc:Choice Requires="wps">
          <w:drawing>
            <wp:anchor distT="4294967295" distB="4294967295" distL="114300" distR="114300" simplePos="0" relativeHeight="251658259" behindDoc="0" locked="0" layoutInCell="1" allowOverlap="1" wp14:anchorId="38233552" wp14:editId="39C16AA0">
              <wp:simplePos x="0" y="0"/>
              <wp:positionH relativeFrom="margin">
                <wp:align>right</wp:align>
              </wp:positionH>
              <wp:positionV relativeFrom="paragraph">
                <wp:posOffset>333375</wp:posOffset>
              </wp:positionV>
              <wp:extent cx="5925312" cy="0"/>
              <wp:effectExtent l="0" t="0" r="37465" b="19050"/>
              <wp:wrapNone/>
              <wp:docPr id="463" name="Line 15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5925312" cy="0"/>
                      </a:xfrm>
                      <a:prstGeom prst="line">
                        <a:avLst/>
                      </a:prstGeom>
                      <a:ln w="9525">
                        <a:solidFill>
                          <a:schemeClr val="bg1">
                            <a:lumMod val="50000"/>
                          </a:schemeClr>
                        </a:solidFill>
                        <a:round/>
                        <a:headEnd/>
                        <a:tailEnd/>
                      </a:ln>
                    </wps:spPr>
                    <wps:style>
                      <a:lnRef idx="1">
                        <a:schemeClr val="accent1"/>
                      </a:lnRef>
                      <a:fillRef idx="0">
                        <a:schemeClr val="accent1"/>
                      </a:fillRef>
                      <a:effectRef idx="0">
                        <a:schemeClr val="accent1"/>
                      </a:effectRef>
                      <a:fontRef idx="minor">
                        <a:schemeClr val="tx1"/>
                      </a:fontRef>
                    </wps:style>
                    <wps:bodyPr/>
                  </wps:wsp>
                </a:graphicData>
              </a:graphic>
              <wp14:sizeRelH relativeFrom="page">
                <wp14:pctWidth>0</wp14:pctWidth>
              </wp14:sizeRelH>
              <wp14:sizeRelV relativeFrom="page">
                <wp14:pctHeight>0</wp14:pctHeight>
              </wp14:sizeRelV>
            </wp:anchor>
          </w:drawing>
        </mc:Choice>
        <mc:Fallback xmlns:a="http://schemas.openxmlformats.org/drawingml/2006/main" xmlns:arto="http://schemas.microsoft.com/office/word/2006/arto"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w:pict w14:anchorId="052D08DB">
            <v:line id="Line 150" style="position:absolute;z-index:251658259;visibility:visible;mso-wrap-style:square;mso-width-percent:0;mso-height-percent:0;mso-wrap-distance-left:9pt;mso-wrap-distance-top:-3e-5mm;mso-wrap-distance-right:9pt;mso-wrap-distance-bottom:-3e-5mm;mso-position-horizontal:right;mso-position-horizontal-relative:margin;mso-position-vertical:absolute;mso-position-vertical-relative:text;mso-width-percent:0;mso-height-percent:0;mso-width-relative:page;mso-height-relative:page" o:spid="_x0000_s1026" strokecolor="#7f7f7f [1612]" from="415.35pt,26.25pt" to="881.9pt,26.25pt" w14:anchorId="4917488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">
              <w10:wrap anchorx="margin"/>
            </v:line>
          </w:pict>
        </mc:Fallback>
      </mc:AlternateContent>
    </w:r>
    <w:r w:rsidRPr="006D45BA">
      <w:rPr>
        <w:b/>
        <w:color w:val="7F7F7F" w:themeColor="text1" w:themeTint="80"/>
      </w:rPr>
      <w:t xml:space="preserve"> </w:t>
    </w:r>
    <w:r w:rsidR="00A4094D">
      <w:rPr>
        <w:b/>
        <w:color w:val="7F7F7F" w:themeColor="text1" w:themeTint="80"/>
        <w:lang w:eastAsia="x-none"/>
      </w:rPr>
      <w:t>Model Inputs</w:t>
    </w:r>
  </w:p>
</w:hdr>
</file>

<file path=word/header15.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1AF36133" w14:textId="77B5C64D" w:rsidR="00962FB5" w:rsidRPr="00A81446" w:rsidRDefault="00962FB5" w:rsidP="00152759">
    <w:pPr>
      <w:pStyle w:val="Header"/>
      <w:spacing w:before="180" w:line="360" w:lineRule="auto"/>
      <w:jc w:val="right"/>
      <w:rPr>
        <w:sz w:val="22"/>
      </w:rPr>
    </w:pPr>
    <w:r w:rsidRPr="00152759">
      <w:rPr>
        <w:noProof/>
        <w:sz w:val="28"/>
      </w:rPr>
      <mc:AlternateContent>
        <mc:Choice Requires="wps">
          <w:drawing>
            <wp:anchor distT="0" distB="0" distL="114300" distR="114300" simplePos="0" relativeHeight="251658258" behindDoc="0" locked="0" layoutInCell="1" allowOverlap="1" wp14:anchorId="05E4A1D2" wp14:editId="2F20A2EC">
              <wp:simplePos x="0" y="0"/>
              <wp:positionH relativeFrom="page">
                <wp:posOffset>6458041</wp:posOffset>
              </wp:positionH>
              <wp:positionV relativeFrom="page">
                <wp:posOffset>354330</wp:posOffset>
              </wp:positionV>
              <wp:extent cx="1307592" cy="137160"/>
              <wp:effectExtent l="0" t="0" r="6985" b="0"/>
              <wp:wrapNone/>
              <wp:docPr id="460" name="Rectangle 460"/>
              <wp:cNvGraphicFramePr/>
              <a:graphic xmlns:a="http://schemas.openxmlformats.org/drawingml/2006/main">
                <a:graphicData uri="http://schemas.microsoft.com/office/word/2010/wordprocessingShape">
                  <wps:wsp>
                    <wps:cNvSpPr/>
                    <wps:spPr>
                      <a:xfrm>
                        <a:off x="0" y="0"/>
                        <a:ext cx="1307592" cy="137160"/>
                      </a:xfrm>
                      <a:prstGeom prst="rect">
                        <a:avLst/>
                      </a:prstGeom>
                      <a:solidFill>
                        <a:schemeClr val="bg1">
                          <a:lumMod val="65000"/>
                        </a:schemeClr>
                      </a:solidFill>
                      <a:ln>
                        <a:noFill/>
                      </a:ln>
                      <a:effectLst/>
                    </wps:spPr>
                    <wps:style>
                      <a:lnRef idx="1">
                        <a:schemeClr val="accent1"/>
                      </a:lnRef>
                      <a:fillRef idx="3">
                        <a:schemeClr val="accent1"/>
                      </a:fillRef>
                      <a:effectRef idx="2">
                        <a:schemeClr val="accent1"/>
                      </a:effectRef>
                      <a:fontRef idx="minor">
                        <a:schemeClr val="lt1"/>
                      </a:fontRef>
                    </wps:style>
                    <wps:txbx>
                      <w:txbxContent>
                        <w:p w14:paraId="74681752" w14:textId="77777777" w:rsidR="00962FB5" w:rsidRPr="001D1D65" w:rsidRDefault="00962FB5" w:rsidP="00A81446">
                          <w:pPr>
                            <w:jc w:val="center"/>
                            <w:rPr>
                              <w:color w:val="808080" w:themeColor="background1" w:themeShade="80"/>
                              <w14:textOutline w14:w="9525" w14:cap="rnd" w14:cmpd="sng" w14:algn="ctr">
                                <w14:noFill/>
                                <w14:prstDash w14:val="solid"/>
                                <w14:bevel/>
                              </w14:textOutline>
                            </w:rPr>
                          </w:pPr>
                          <w:r w:rsidRPr="001D1D65">
                            <w:rPr>
                              <w:color w:val="808080" w:themeColor="background1" w:themeShade="80"/>
                              <w14:textOutline w14:w="9525" w14:cap="rnd" w14:cmpd="sng" w14:algn="ctr">
                                <w14:noFill/>
                                <w14:prstDash w14:val="solid"/>
                                <w14:bevel/>
                              </w14:textOutline>
                            </w:rPr>
                            <w:t>/</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w:pict>
            <v:rect w14:anchorId="05E4A1D2" id="Rectangle 460" o:spid="_x0000_s1043" style="position:absolute;left:0;text-align:left;margin-left:508.5pt;margin-top:27.9pt;width:102.95pt;height:10.8pt;z-index:25165825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" fillcolor="#a5a5a5 [2092]" stroked="f">
              <v:textbox>
                <w:txbxContent>
                  <w:p w14:paraId="74681752" w14:textId="77777777" w:rsidR="00962FB5" w:rsidRPr="001D1D65" w:rsidRDefault="00962FB5" w:rsidP="00A81446">
                    <w:pPr>
                      <w:jc w:val="center"/>
                      <w:rPr>
                        <w:color w:val="808080" w:themeColor="background1" w:themeShade="80"/>
                        <w14:textOutline w14:w="9525" w14:cap="rnd" w14:cmpd="sng" w14:algn="ctr">
                          <w14:noFill/>
                          <w14:prstDash w14:val="solid"/>
                          <w14:bevel/>
                        </w14:textOutline>
                      </w:rPr>
                    </w:pPr>
                    <w:r w:rsidRPr="001D1D65">
                      <w:rPr>
                        <w:color w:val="808080" w:themeColor="background1" w:themeShade="80"/>
                        <w14:textOutline w14:w="9525" w14:cap="rnd" w14:cmpd="sng" w14:algn="ctr">
                          <w14:noFill/>
                          <w14:prstDash w14:val="solid"/>
                          <w14:bevel/>
                        </w14:textOutline>
                      </w:rPr>
                      <w:t>/</w:t>
                    </w:r>
                  </w:p>
                </w:txbxContent>
              </v:textbox>
              <w10:wrap anchorx="page" anchory="page"/>
            </v:rect>
          </w:pict>
        </mc:Fallback>
      </mc:AlternateContent>
    </w:r>
    <w:r w:rsidRPr="00152759">
      <w:rPr>
        <w:b/>
        <w:noProof/>
        <w:sz w:val="28"/>
      </w:rPr>
      <mc:AlternateContent>
        <mc:Choice Requires="wps">
          <w:drawing>
            <wp:anchor distT="4294967295" distB="4294967295" distL="114300" distR="114300" simplePos="0" relativeHeight="251658257" behindDoc="0" locked="0" layoutInCell="1" allowOverlap="1" wp14:anchorId="121702F7" wp14:editId="17D97F4C">
              <wp:simplePos x="0" y="0"/>
              <wp:positionH relativeFrom="margin">
                <wp:align>left</wp:align>
              </wp:positionH>
              <wp:positionV relativeFrom="paragraph">
                <wp:posOffset>329565</wp:posOffset>
              </wp:positionV>
              <wp:extent cx="5971032" cy="0"/>
              <wp:effectExtent l="0" t="0" r="10795" b="19050"/>
              <wp:wrapNone/>
              <wp:docPr id="461" name="Line 15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5971032" cy="0"/>
                      </a:xfrm>
                      <a:prstGeom prst="line">
                        <a:avLst/>
                      </a:prstGeom>
                      <a:noFill/>
                      <a:ln w="12700">
                        <a:solidFill>
                          <a:schemeClr val="bg1">
                            <a:lumMod val="50000"/>
                          </a:schemeClr>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a="http://schemas.openxmlformats.org/drawingml/2006/main" xmlns:a14="http://schemas.microsoft.com/office/drawing/2010/main" xmlns:arto="http://schemas.microsoft.com/office/word/2006/arto"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w:pict w14:anchorId="59285B48">
            <v:line id="Line 150" style="position:absolute;flip:x;z-index:251658257;visibility:visible;mso-wrap-style:square;mso-width-percent:0;mso-height-percent:0;mso-wrap-distance-left:9pt;mso-wrap-distance-top:-3e-5mm;mso-wrap-distance-right:9pt;mso-wrap-distance-bottom:-3e-5mm;mso-position-horizontal:left;mso-position-horizontal-relative:margin;mso-position-vertical:absolute;mso-position-vertical-relative:text;mso-width-percent:0;mso-height-percent:0;mso-width-relative:page;mso-height-relative:page" o:spid="_x0000_s1026" strokecolor="#7f7f7f [1612]" strokeweight="1pt" from="0,25.95pt" to="470.15pt,25.95pt" w14:anchorId="6F1A5BC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">
              <w10:wrap anchorx="margin"/>
            </v:line>
          </w:pict>
        </mc:Fallback>
      </mc:AlternateContent>
    </w:r>
    <w:r w:rsidRPr="002025CB">
      <w:rPr>
        <w:b/>
        <w:color w:val="7F7F7F" w:themeColor="text1" w:themeTint="80"/>
        <w:lang w:eastAsia="x-none"/>
      </w:rPr>
      <w:t xml:space="preserve"> </w:t>
    </w:r>
    <w:r w:rsidR="00327339">
      <w:rPr>
        <w:b/>
        <w:color w:val="7F7F7F" w:themeColor="text1" w:themeTint="80"/>
        <w:lang w:eastAsia="x-none"/>
      </w:rPr>
      <w:t>Model Inputs</w:t>
    </w:r>
    <w:r w:rsidDel="0082393F">
      <w:rPr>
        <w:b/>
        <w:color w:val="7F7F7F" w:themeColor="text1" w:themeTint="80"/>
        <w:sz w:val="22"/>
      </w:rPr>
      <w:t xml:space="preserve"> </w:t>
    </w:r>
  </w:p>
</w:hdr>
</file>

<file path=word/header16.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A4ED6DB" w14:textId="6B513FC9" w:rsidR="00A57C91" w:rsidRPr="00772272" w:rsidRDefault="00B61EE9" w:rsidP="002025CB">
    <w:pPr>
      <w:pStyle w:val="Header"/>
      <w:spacing w:before="180" w:line="360" w:lineRule="auto"/>
      <w:rPr>
        <w:b/>
        <w:color w:val="7F7F7F" w:themeColor="text1" w:themeTint="80"/>
        <w:lang w:eastAsia="x-none"/>
      </w:rPr>
    </w:pPr>
    <w:r w:rsidRPr="004F51E1">
      <w:rPr>
        <w:b/>
        <w:noProof/>
        <w:color w:val="7F7F7F" w:themeColor="text1" w:themeTint="80"/>
        <w:sz w:val="22"/>
      </w:rPr>
      <mc:AlternateContent>
        <mc:Choice Requires="wps">
          <w:drawing>
            <wp:anchor distT="0" distB="0" distL="114300" distR="114300" simplePos="0" relativeHeight="251658270" behindDoc="0" locked="0" layoutInCell="1" allowOverlap="1" wp14:anchorId="4DA9FFA0" wp14:editId="0DC0808F">
              <wp:simplePos x="0" y="0"/>
              <wp:positionH relativeFrom="page">
                <wp:posOffset>6894</wp:posOffset>
              </wp:positionH>
              <wp:positionV relativeFrom="page">
                <wp:posOffset>356870</wp:posOffset>
              </wp:positionV>
              <wp:extent cx="1307592" cy="137160"/>
              <wp:effectExtent l="0" t="0" r="6985" b="0"/>
              <wp:wrapNone/>
              <wp:docPr id="34" name="Rectangle 34"/>
              <wp:cNvGraphicFramePr/>
              <a:graphic xmlns:a="http://schemas.openxmlformats.org/drawingml/2006/main">
                <a:graphicData uri="http://schemas.microsoft.com/office/word/2010/wordprocessingShape">
                  <wps:wsp>
                    <wps:cNvSpPr/>
                    <wps:spPr>
                      <a:xfrm>
                        <a:off x="0" y="0"/>
                        <a:ext cx="1307592" cy="137160"/>
                      </a:xfrm>
                      <a:prstGeom prst="rect">
                        <a:avLst/>
                      </a:prstGeom>
                      <a:solidFill>
                        <a:schemeClr val="bg1">
                          <a:lumMod val="65000"/>
                        </a:schemeClr>
                      </a:solidFill>
                      <a:ln>
                        <a:noFill/>
                      </a:ln>
                      <a:effectLst/>
                    </wps:spPr>
                    <wps:style>
                      <a:lnRef idx="1">
                        <a:schemeClr val="accent1"/>
                      </a:lnRef>
                      <a:fillRef idx="3">
                        <a:schemeClr val="accent1"/>
                      </a:fillRef>
                      <a:effectRef idx="2">
                        <a:schemeClr val="accent1"/>
                      </a:effectRef>
                      <a:fontRef idx="minor">
                        <a:schemeClr val="lt1"/>
                      </a:fontRef>
                    </wps:style>
                    <wps:txbx>
                      <w:txbxContent>
                        <w:p w14:paraId="714A3755" w14:textId="77777777" w:rsidR="00B61EE9" w:rsidRDefault="00B61EE9" w:rsidP="00A81446">
                          <w:pPr>
                            <w:jc w:val="center"/>
                          </w:pPr>
                          <w:r>
                            <w:t>/</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w:pict>
            <v:rect w14:anchorId="4DA9FFA0" id="Rectangle 34" o:spid="_x0000_s1044" style="position:absolute;margin-left:.55pt;margin-top:28.1pt;width:102.95pt;height:10.8pt;z-index:25165827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" fillcolor="#a5a5a5 [2092]" stroked="f">
              <v:textbox>
                <w:txbxContent>
                  <w:p w14:paraId="714A3755" w14:textId="77777777" w:rsidR="00B61EE9" w:rsidRDefault="00B61EE9" w:rsidP="00A81446">
                    <w:pPr>
                      <w:jc w:val="center"/>
                    </w:pPr>
                    <w:r>
                      <w:t>/</w:t>
                    </w:r>
                  </w:p>
                </w:txbxContent>
              </v:textbox>
              <w10:wrap anchorx="page" anchory="page"/>
            </v:rect>
          </w:pict>
        </mc:Fallback>
      </mc:AlternateContent>
    </w:r>
    <w:r w:rsidRPr="00772272">
      <w:rPr>
        <w:b/>
        <w:noProof/>
        <w:color w:val="7F7F7F" w:themeColor="text1" w:themeTint="80"/>
        <w:sz w:val="22"/>
      </w:rPr>
      <mc:AlternateContent>
        <mc:Choice Requires="wps">
          <w:drawing>
            <wp:anchor distT="4294967295" distB="4294967295" distL="114300" distR="114300" simplePos="0" relativeHeight="251658271" behindDoc="0" locked="0" layoutInCell="1" allowOverlap="1" wp14:anchorId="2D10A2DA" wp14:editId="724441CF">
              <wp:simplePos x="0" y="0"/>
              <wp:positionH relativeFrom="margin">
                <wp:align>right</wp:align>
              </wp:positionH>
              <wp:positionV relativeFrom="paragraph">
                <wp:posOffset>333375</wp:posOffset>
              </wp:positionV>
              <wp:extent cx="5925312" cy="0"/>
              <wp:effectExtent l="0" t="0" r="37465" b="19050"/>
              <wp:wrapNone/>
              <wp:docPr id="36" name="Line 15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5925312" cy="0"/>
                      </a:xfrm>
                      <a:prstGeom prst="line">
                        <a:avLst/>
                      </a:prstGeom>
                      <a:ln w="9525">
                        <a:solidFill>
                          <a:schemeClr val="bg1">
                            <a:lumMod val="50000"/>
                          </a:schemeClr>
                        </a:solidFill>
                        <a:round/>
                        <a:headEnd/>
                        <a:tailEnd/>
                      </a:ln>
                    </wps:spPr>
                    <wps:style>
                      <a:lnRef idx="1">
                        <a:schemeClr val="accent1"/>
                      </a:lnRef>
                      <a:fillRef idx="0">
                        <a:schemeClr val="accent1"/>
                      </a:fillRef>
                      <a:effectRef idx="0">
                        <a:schemeClr val="accent1"/>
                      </a:effectRef>
                      <a:fontRef idx="minor">
                        <a:schemeClr val="tx1"/>
                      </a:fontRef>
                    </wps:style>
                    <wps:bodyPr/>
                  </wps:wsp>
                </a:graphicData>
              </a:graphic>
              <wp14:sizeRelH relativeFrom="page">
                <wp14:pctWidth>0</wp14:pctWidth>
              </wp14:sizeRelH>
              <wp14:sizeRelV relativeFrom="page">
                <wp14:pctHeight>0</wp14:pctHeight>
              </wp14:sizeRelV>
            </wp:anchor>
          </w:drawing>
        </mc:Choice>
        <mc:Fallback xmlns:a="http://schemas.openxmlformats.org/drawingml/2006/main" xmlns:arto="http://schemas.microsoft.com/office/word/2006/arto"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w:pict w14:anchorId="3C82D5C0">
            <v:line id="Line 150" style="position:absolute;z-index:251658275;visibility:visible;mso-wrap-style:square;mso-width-percent:0;mso-height-percent:0;mso-wrap-distance-left:9pt;mso-wrap-distance-top:-3e-5mm;mso-wrap-distance-right:9pt;mso-wrap-distance-bottom:-3e-5mm;mso-position-horizontal:right;mso-position-horizontal-relative:margin;mso-position-vertical:absolute;mso-position-vertical-relative:text;mso-width-percent:0;mso-height-percent:0;mso-width-relative:page;mso-height-relative:page" o:spid="_x0000_s1026" strokecolor="#7f7f7f [1612]" from="415.35pt,26.25pt" to="881.9pt,26.25pt" w14:anchorId="4E60925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">
              <w10:wrap anchorx="margin"/>
            </v:line>
          </w:pict>
        </mc:Fallback>
      </mc:AlternateContent>
    </w:r>
    <w:r w:rsidR="00EF2D23">
      <w:rPr>
        <w:b/>
        <w:color w:val="7F7F7F" w:themeColor="text1" w:themeTint="80"/>
      </w:rPr>
      <w:t>Results and Conclusions</w:t>
    </w:r>
  </w:p>
</w:hdr>
</file>

<file path=word/header17.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1DCD1C9C" w14:textId="1D7C4F7E" w:rsidR="00A57C91" w:rsidRPr="00A81446" w:rsidRDefault="00B61EE9" w:rsidP="00152759">
    <w:pPr>
      <w:pStyle w:val="Header"/>
      <w:spacing w:before="180" w:line="360" w:lineRule="auto"/>
      <w:jc w:val="right"/>
      <w:rPr>
        <w:sz w:val="22"/>
      </w:rPr>
    </w:pPr>
    <w:r w:rsidRPr="00152759">
      <w:rPr>
        <w:noProof/>
        <w:sz w:val="28"/>
      </w:rPr>
      <mc:AlternateContent>
        <mc:Choice Requires="wps">
          <w:drawing>
            <wp:anchor distT="0" distB="0" distL="114300" distR="114300" simplePos="0" relativeHeight="251658272" behindDoc="0" locked="0" layoutInCell="1" allowOverlap="1" wp14:anchorId="35CF1CEA" wp14:editId="65950A68">
              <wp:simplePos x="0" y="0"/>
              <wp:positionH relativeFrom="page">
                <wp:posOffset>6458041</wp:posOffset>
              </wp:positionH>
              <wp:positionV relativeFrom="page">
                <wp:posOffset>354330</wp:posOffset>
              </wp:positionV>
              <wp:extent cx="1307592" cy="137160"/>
              <wp:effectExtent l="0" t="0" r="6985" b="0"/>
              <wp:wrapNone/>
              <wp:docPr id="37" name="Rectangle 37"/>
              <wp:cNvGraphicFramePr/>
              <a:graphic xmlns:a="http://schemas.openxmlformats.org/drawingml/2006/main">
                <a:graphicData uri="http://schemas.microsoft.com/office/word/2010/wordprocessingShape">
                  <wps:wsp>
                    <wps:cNvSpPr/>
                    <wps:spPr>
                      <a:xfrm>
                        <a:off x="0" y="0"/>
                        <a:ext cx="1307592" cy="137160"/>
                      </a:xfrm>
                      <a:prstGeom prst="rect">
                        <a:avLst/>
                      </a:prstGeom>
                      <a:solidFill>
                        <a:schemeClr val="bg1">
                          <a:lumMod val="65000"/>
                        </a:schemeClr>
                      </a:solidFill>
                      <a:ln>
                        <a:noFill/>
                      </a:ln>
                      <a:effectLst/>
                    </wps:spPr>
                    <wps:style>
                      <a:lnRef idx="1">
                        <a:schemeClr val="accent1"/>
                      </a:lnRef>
                      <a:fillRef idx="3">
                        <a:schemeClr val="accent1"/>
                      </a:fillRef>
                      <a:effectRef idx="2">
                        <a:schemeClr val="accent1"/>
                      </a:effectRef>
                      <a:fontRef idx="minor">
                        <a:schemeClr val="lt1"/>
                      </a:fontRef>
                    </wps:style>
                    <wps:txbx>
                      <w:txbxContent>
                        <w:p w14:paraId="3697D22C" w14:textId="77777777" w:rsidR="00B61EE9" w:rsidRPr="001D1D65" w:rsidRDefault="00B61EE9" w:rsidP="00A81446">
                          <w:pPr>
                            <w:jc w:val="center"/>
                            <w:rPr>
                              <w:color w:val="808080" w:themeColor="background1" w:themeShade="80"/>
                              <w14:textOutline w14:w="9525" w14:cap="rnd" w14:cmpd="sng" w14:algn="ctr">
                                <w14:noFill/>
                                <w14:prstDash w14:val="solid"/>
                                <w14:bevel/>
                              </w14:textOutline>
                            </w:rPr>
                          </w:pPr>
                          <w:r w:rsidRPr="001D1D65">
                            <w:rPr>
                              <w:color w:val="808080" w:themeColor="background1" w:themeShade="80"/>
                              <w14:textOutline w14:w="9525" w14:cap="rnd" w14:cmpd="sng" w14:algn="ctr">
                                <w14:noFill/>
                                <w14:prstDash w14:val="solid"/>
                                <w14:bevel/>
                              </w14:textOutline>
                            </w:rPr>
                            <w:t>/</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w:pict>
            <v:rect w14:anchorId="35CF1CEA" id="Rectangle 37" o:spid="_x0000_s1045" style="position:absolute;left:0;text-align:left;margin-left:508.5pt;margin-top:27.9pt;width:102.95pt;height:10.8pt;z-index:25165827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" fillcolor="#a5a5a5 [2092]" stroked="f">
              <v:textbox>
                <w:txbxContent>
                  <w:p w14:paraId="3697D22C" w14:textId="77777777" w:rsidR="00B61EE9" w:rsidRPr="001D1D65" w:rsidRDefault="00B61EE9" w:rsidP="00A81446">
                    <w:pPr>
                      <w:jc w:val="center"/>
                      <w:rPr>
                        <w:color w:val="808080" w:themeColor="background1" w:themeShade="80"/>
                        <w14:textOutline w14:w="9525" w14:cap="rnd" w14:cmpd="sng" w14:algn="ctr">
                          <w14:noFill/>
                          <w14:prstDash w14:val="solid"/>
                          <w14:bevel/>
                        </w14:textOutline>
                      </w:rPr>
                    </w:pPr>
                    <w:r w:rsidRPr="001D1D65">
                      <w:rPr>
                        <w:color w:val="808080" w:themeColor="background1" w:themeShade="80"/>
                        <w14:textOutline w14:w="9525" w14:cap="rnd" w14:cmpd="sng" w14:algn="ctr">
                          <w14:noFill/>
                          <w14:prstDash w14:val="solid"/>
                          <w14:bevel/>
                        </w14:textOutline>
                      </w:rPr>
                      <w:t>/</w:t>
                    </w:r>
                  </w:p>
                </w:txbxContent>
              </v:textbox>
              <w10:wrap anchorx="page" anchory="page"/>
            </v:rect>
          </w:pict>
        </mc:Fallback>
      </mc:AlternateContent>
    </w:r>
    <w:r w:rsidRPr="00152759">
      <w:rPr>
        <w:b/>
        <w:noProof/>
        <w:sz w:val="28"/>
      </w:rPr>
      <mc:AlternateContent>
        <mc:Choice Requires="wps">
          <w:drawing>
            <wp:anchor distT="4294967295" distB="4294967295" distL="114300" distR="114300" simplePos="0" relativeHeight="251658273" behindDoc="0" locked="0" layoutInCell="1" allowOverlap="1" wp14:anchorId="21BD29F9" wp14:editId="71000866">
              <wp:simplePos x="0" y="0"/>
              <wp:positionH relativeFrom="margin">
                <wp:align>left</wp:align>
              </wp:positionH>
              <wp:positionV relativeFrom="paragraph">
                <wp:posOffset>329565</wp:posOffset>
              </wp:positionV>
              <wp:extent cx="5971032" cy="0"/>
              <wp:effectExtent l="0" t="0" r="10795" b="19050"/>
              <wp:wrapNone/>
              <wp:docPr id="38" name="Line 15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5971032" cy="0"/>
                      </a:xfrm>
                      <a:prstGeom prst="line">
                        <a:avLst/>
                      </a:prstGeom>
                      <a:noFill/>
                      <a:ln w="12700">
                        <a:solidFill>
                          <a:schemeClr val="bg1">
                            <a:lumMod val="50000"/>
                          </a:schemeClr>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a="http://schemas.openxmlformats.org/drawingml/2006/main" xmlns:a14="http://schemas.microsoft.com/office/drawing/2010/main" xmlns:arto="http://schemas.microsoft.com/office/word/2006/arto"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w:pict w14:anchorId="3858EA00">
            <v:line id="Line 150" style="position:absolute;flip:x;z-index:251658277;visibility:visible;mso-wrap-style:square;mso-width-percent:0;mso-height-percent:0;mso-wrap-distance-left:9pt;mso-wrap-distance-top:-3e-5mm;mso-wrap-distance-right:9pt;mso-wrap-distance-bottom:-3e-5mm;mso-position-horizontal:left;mso-position-horizontal-relative:margin;mso-position-vertical:absolute;mso-position-vertical-relative:text;mso-width-percent:0;mso-height-percent:0;mso-width-relative:page;mso-height-relative:page" o:spid="_x0000_s1026" strokecolor="#7f7f7f [1612]" strokeweight="1pt" from="0,25.95pt" to="470.15pt,25.95pt" w14:anchorId="3C6A594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">
              <w10:wrap anchorx="margin"/>
            </v:line>
          </w:pict>
        </mc:Fallback>
      </mc:AlternateContent>
    </w:r>
    <w:r w:rsidR="00EF2D23">
      <w:rPr>
        <w:b/>
        <w:color w:val="7F7F7F" w:themeColor="text1" w:themeTint="80"/>
        <w:lang w:eastAsia="x-none"/>
      </w:rPr>
      <w:t>Results and Conclusions</w:t>
    </w:r>
    <w:r w:rsidDel="0082393F">
      <w:rPr>
        <w:b/>
        <w:color w:val="7F7F7F" w:themeColor="text1" w:themeTint="80"/>
        <w:sz w:val="22"/>
      </w:rPr>
      <w:t xml:space="preserve"> </w:t>
    </w: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FFFFFF7C"/>
    <w:multiLevelType w:val="singleLevel"/>
    <w:tmpl w:val="107E29D4"/>
    <w:lvl w:ilvl="0">
      <w:start w:val="1"/>
      <w:numFmt w:val="decimal"/>
      <w:pStyle w:val="ListNumber5"/>
      <w:lvlText w:val="%1."/>
      <w:lvlJc w:val="left"/>
      <w:pPr>
        <w:tabs>
          <w:tab w:val="num" w:pos="1800"/>
        </w:tabs>
        <w:ind w:left="1800" w:hanging="360"/>
      </w:pPr>
    </w:lvl>
  </w:abstractNum>
  <w:abstractNum w:abstractNumId="1" w15:restartNumberingAfterBreak="0">
    <w:nsid w:val="FFFFFF7D"/>
    <w:multiLevelType w:val="singleLevel"/>
    <w:tmpl w:val="E63E76A6"/>
    <w:lvl w:ilvl="0">
      <w:start w:val="1"/>
      <w:numFmt w:val="decimal"/>
      <w:pStyle w:val="ListNumber4"/>
      <w:lvlText w:val="%1."/>
      <w:lvlJc w:val="left"/>
      <w:pPr>
        <w:tabs>
          <w:tab w:val="num" w:pos="1440"/>
        </w:tabs>
        <w:ind w:left="1440" w:hanging="360"/>
      </w:pPr>
    </w:lvl>
  </w:abstractNum>
  <w:abstractNum w:abstractNumId="2" w15:restartNumberingAfterBreak="0">
    <w:nsid w:val="FFFFFF7E"/>
    <w:multiLevelType w:val="singleLevel"/>
    <w:tmpl w:val="149C2B30"/>
    <w:lvl w:ilvl="0">
      <w:start w:val="1"/>
      <w:numFmt w:val="decimal"/>
      <w:pStyle w:val="ListNumber3"/>
      <w:lvlText w:val="%1."/>
      <w:lvlJc w:val="left"/>
      <w:pPr>
        <w:tabs>
          <w:tab w:val="num" w:pos="1080"/>
        </w:tabs>
        <w:ind w:left="1080" w:hanging="360"/>
      </w:pPr>
    </w:lvl>
  </w:abstractNum>
  <w:abstractNum w:abstractNumId="3" w15:restartNumberingAfterBreak="0">
    <w:nsid w:val="FFFFFF7F"/>
    <w:multiLevelType w:val="singleLevel"/>
    <w:tmpl w:val="42E6DCF0"/>
    <w:lvl w:ilvl="0">
      <w:start w:val="1"/>
      <w:numFmt w:val="decimal"/>
      <w:pStyle w:val="ListNumber2"/>
      <w:lvlText w:val="%1."/>
      <w:lvlJc w:val="left"/>
      <w:pPr>
        <w:tabs>
          <w:tab w:val="num" w:pos="720"/>
        </w:tabs>
        <w:ind w:left="720" w:hanging="360"/>
      </w:pPr>
    </w:lvl>
  </w:abstractNum>
  <w:abstractNum w:abstractNumId="4" w15:restartNumberingAfterBreak="0">
    <w:nsid w:val="FFFFFF80"/>
    <w:multiLevelType w:val="singleLevel"/>
    <w:tmpl w:val="451A824C"/>
    <w:lvl w:ilvl="0">
      <w:start w:val="1"/>
      <w:numFmt w:val="bullet"/>
      <w:pStyle w:val="ListBullet5"/>
      <w:lvlText w:val=""/>
      <w:lvlJc w:val="left"/>
      <w:pPr>
        <w:tabs>
          <w:tab w:val="num" w:pos="1800"/>
        </w:tabs>
        <w:ind w:left="1800" w:hanging="360"/>
      </w:pPr>
      <w:rPr>
        <w:rFonts w:ascii="Symbol" w:hAnsi="Symbol" w:hint="default"/>
      </w:rPr>
    </w:lvl>
  </w:abstractNum>
  <w:abstractNum w:abstractNumId="5" w15:restartNumberingAfterBreak="0">
    <w:nsid w:val="FFFFFF81"/>
    <w:multiLevelType w:val="singleLevel"/>
    <w:tmpl w:val="A0324D72"/>
    <w:lvl w:ilvl="0">
      <w:start w:val="1"/>
      <w:numFmt w:val="bullet"/>
      <w:pStyle w:val="ListBullet4"/>
      <w:lvlText w:val=""/>
      <w:lvlJc w:val="left"/>
      <w:pPr>
        <w:tabs>
          <w:tab w:val="num" w:pos="1440"/>
        </w:tabs>
        <w:ind w:left="1440" w:hanging="360"/>
      </w:pPr>
      <w:rPr>
        <w:rFonts w:ascii="Symbol" w:hAnsi="Symbol" w:hint="default"/>
      </w:rPr>
    </w:lvl>
  </w:abstractNum>
  <w:abstractNum w:abstractNumId="6" w15:restartNumberingAfterBreak="0">
    <w:nsid w:val="FFFFFF82"/>
    <w:multiLevelType w:val="singleLevel"/>
    <w:tmpl w:val="486A9064"/>
    <w:lvl w:ilvl="0">
      <w:start w:val="1"/>
      <w:numFmt w:val="bullet"/>
      <w:pStyle w:val="ListBullet3"/>
      <w:lvlText w:val=""/>
      <w:lvlJc w:val="left"/>
      <w:pPr>
        <w:tabs>
          <w:tab w:val="num" w:pos="1080"/>
        </w:tabs>
        <w:ind w:left="1080" w:hanging="360"/>
      </w:pPr>
      <w:rPr>
        <w:rFonts w:ascii="Symbol" w:hAnsi="Symbol" w:hint="default"/>
      </w:rPr>
    </w:lvl>
  </w:abstractNum>
  <w:abstractNum w:abstractNumId="7" w15:restartNumberingAfterBreak="0">
    <w:nsid w:val="FFFFFF83"/>
    <w:multiLevelType w:val="singleLevel"/>
    <w:tmpl w:val="E41A67BC"/>
    <w:lvl w:ilvl="0">
      <w:start w:val="1"/>
      <w:numFmt w:val="bullet"/>
      <w:pStyle w:val="ListBullet2"/>
      <w:lvlText w:val=""/>
      <w:lvlJc w:val="left"/>
      <w:pPr>
        <w:tabs>
          <w:tab w:val="num" w:pos="720"/>
        </w:tabs>
        <w:ind w:left="720" w:hanging="360"/>
      </w:pPr>
      <w:rPr>
        <w:rFonts w:ascii="Symbol" w:hAnsi="Symbol" w:hint="default"/>
      </w:rPr>
    </w:lvl>
  </w:abstractNum>
  <w:abstractNum w:abstractNumId="8" w15:restartNumberingAfterBreak="0">
    <w:nsid w:val="FFFFFF88"/>
    <w:multiLevelType w:val="singleLevel"/>
    <w:tmpl w:val="03A8BBE8"/>
    <w:lvl w:ilvl="0">
      <w:start w:val="1"/>
      <w:numFmt w:val="decimal"/>
      <w:pStyle w:val="ListNumber"/>
      <w:lvlText w:val="%1."/>
      <w:lvlJc w:val="left"/>
      <w:pPr>
        <w:tabs>
          <w:tab w:val="num" w:pos="360"/>
        </w:tabs>
        <w:ind w:left="360" w:hanging="360"/>
      </w:pPr>
    </w:lvl>
  </w:abstractNum>
  <w:abstractNum w:abstractNumId="9" w15:restartNumberingAfterBreak="0">
    <w:nsid w:val="FFFFFF89"/>
    <w:multiLevelType w:val="singleLevel"/>
    <w:tmpl w:val="0526C526"/>
    <w:lvl w:ilvl="0">
      <w:start w:val="1"/>
      <w:numFmt w:val="bullet"/>
      <w:pStyle w:val="ListBullet"/>
      <w:lvlText w:val=""/>
      <w:lvlJc w:val="left"/>
      <w:pPr>
        <w:tabs>
          <w:tab w:val="num" w:pos="360"/>
        </w:tabs>
        <w:ind w:left="360" w:hanging="360"/>
      </w:pPr>
      <w:rPr>
        <w:rFonts w:ascii="Symbol" w:hAnsi="Symbol" w:hint="default"/>
      </w:rPr>
    </w:lvl>
  </w:abstractNum>
  <w:abstractNum w:abstractNumId="10" w15:restartNumberingAfterBreak="0">
    <w:nsid w:val="056E6F07"/>
    <w:multiLevelType w:val="hybridMultilevel"/>
    <w:tmpl w:val="6F9AF12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1" w15:restartNumberingAfterBreak="0">
    <w:nsid w:val="072B1FCD"/>
    <w:multiLevelType w:val="hybridMultilevel"/>
    <w:tmpl w:val="26666EBA"/>
    <w:lvl w:ilvl="0" w:tplc="4A2A91C8">
      <w:start w:val="1"/>
      <w:numFmt w:val="lowerLetter"/>
      <w:pStyle w:val="rptappendixbullets1"/>
      <w:lvlText w:val="(%1)"/>
      <w:lvlJc w:val="left"/>
      <w:pPr>
        <w:ind w:left="720" w:hanging="360"/>
      </w:pPr>
      <w:rPr>
        <w:rFonts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12" w15:restartNumberingAfterBreak="0">
    <w:nsid w:val="08240729"/>
    <w:multiLevelType w:val="hybridMultilevel"/>
    <w:tmpl w:val="321CB2A4"/>
    <w:lvl w:ilvl="0" w:tplc="C4580386">
      <w:start w:val="1"/>
      <w:numFmt w:val="bullet"/>
      <w:pStyle w:val="Footer"/>
      <w:lvlText w:val="o"/>
      <w:lvlJc w:val="left"/>
      <w:pPr>
        <w:ind w:left="1440" w:hanging="360"/>
      </w:pPr>
      <w:rPr>
        <w:rFonts w:ascii="Courier New" w:hAnsi="Courier New" w:hint="default"/>
        <w:color w:val="000000"/>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13" w15:restartNumberingAfterBreak="0">
    <w:nsid w:val="120E6257"/>
    <w:multiLevelType w:val="multilevel"/>
    <w:tmpl w:val="AB38F28C"/>
    <w:lvl w:ilvl="0">
      <w:start w:val="1"/>
      <w:numFmt w:val="upperRoman"/>
      <w:lvlText w:val="Chapter %1."/>
      <w:lvlJc w:val="right"/>
      <w:pPr>
        <w:tabs>
          <w:tab w:val="num" w:pos="0"/>
        </w:tabs>
        <w:ind w:left="0" w:hanging="720"/>
      </w:pPr>
      <w:rPr>
        <w:rFonts w:cs="Times New Roman" w:hint="default"/>
      </w:rPr>
    </w:lvl>
    <w:lvl w:ilvl="1">
      <w:start w:val="1"/>
      <w:numFmt w:val="upperLetter"/>
      <w:lvlRestart w:val="0"/>
      <w:lvlText w:val="%2."/>
      <w:lvlJc w:val="left"/>
      <w:pPr>
        <w:tabs>
          <w:tab w:val="num" w:pos="576"/>
        </w:tabs>
        <w:ind w:left="576" w:hanging="576"/>
      </w:pPr>
      <w:rPr>
        <w:rFonts w:cs="Times New Roman" w:hint="default"/>
      </w:rPr>
    </w:lvl>
    <w:lvl w:ilvl="2">
      <w:start w:val="1"/>
      <w:numFmt w:val="decimal"/>
      <w:pStyle w:val="Heading3"/>
      <w:lvlText w:val="%3."/>
      <w:lvlJc w:val="left"/>
      <w:pPr>
        <w:tabs>
          <w:tab w:val="num" w:pos="1440"/>
        </w:tabs>
        <w:ind w:left="1440" w:hanging="720"/>
      </w:pPr>
      <w:rPr>
        <w:rFonts w:ascii="Times New Roman" w:hAnsi="Times New Roman" w:cs="Times New Roman" w:hint="default"/>
        <w:i w:val="0"/>
        <w:iCs w:val="0"/>
        <w:caps w:val="0"/>
        <w:smallCaps w:val="0"/>
        <w:strike w:val="0"/>
        <w:dstrike w:val="0"/>
        <w:vanish w:val="0"/>
        <w:spacing w:val="0"/>
        <w:kern w:val="0"/>
        <w:position w:val="0"/>
        <w:u w:val="none"/>
        <w:vertAlign w:val="baseline"/>
        <w:em w:val="none"/>
      </w:rPr>
    </w:lvl>
    <w:lvl w:ilvl="3">
      <w:start w:val="1"/>
      <w:numFmt w:val="lowerLetter"/>
      <w:pStyle w:val="Heading4"/>
      <w:lvlText w:val="%4."/>
      <w:lvlJc w:val="left"/>
      <w:pPr>
        <w:tabs>
          <w:tab w:val="num" w:pos="2160"/>
        </w:tabs>
        <w:ind w:left="2520" w:hanging="360"/>
      </w:pPr>
      <w:rPr>
        <w:rFonts w:cs="Times New Roman" w:hint="default"/>
      </w:rPr>
    </w:lvl>
    <w:lvl w:ilvl="4">
      <w:start w:val="1"/>
      <w:numFmt w:val="decimal"/>
      <w:pStyle w:val="Heading5"/>
      <w:lvlText w:val="(%5)"/>
      <w:lvlJc w:val="left"/>
      <w:pPr>
        <w:tabs>
          <w:tab w:val="num" w:pos="2880"/>
        </w:tabs>
        <w:ind w:left="2880" w:hanging="720"/>
      </w:pPr>
      <w:rPr>
        <w:rFonts w:cs="Times New Roman" w:hint="default"/>
      </w:rPr>
    </w:lvl>
    <w:lvl w:ilvl="5">
      <w:start w:val="1"/>
      <w:numFmt w:val="lowerLetter"/>
      <w:pStyle w:val="Heading6"/>
      <w:lvlText w:val="(%6)"/>
      <w:lvlJc w:val="left"/>
      <w:pPr>
        <w:tabs>
          <w:tab w:val="num" w:pos="3600"/>
        </w:tabs>
        <w:ind w:left="3600" w:hanging="720"/>
      </w:pPr>
      <w:rPr>
        <w:rFonts w:cs="Times New Roman" w:hint="default"/>
      </w:rPr>
    </w:lvl>
    <w:lvl w:ilvl="6">
      <w:start w:val="1"/>
      <w:numFmt w:val="lowerRoman"/>
      <w:pStyle w:val="Heading7"/>
      <w:lvlText w:val="%7)"/>
      <w:lvlJc w:val="left"/>
      <w:pPr>
        <w:tabs>
          <w:tab w:val="num" w:pos="4320"/>
        </w:tabs>
        <w:ind w:left="4320" w:hanging="720"/>
      </w:pPr>
      <w:rPr>
        <w:rFonts w:cs="Times New Roman" w:hint="default"/>
      </w:rPr>
    </w:lvl>
    <w:lvl w:ilvl="7">
      <w:start w:val="1"/>
      <w:numFmt w:val="lowerLetter"/>
      <w:pStyle w:val="Heading8"/>
      <w:lvlText w:val="%8)"/>
      <w:lvlJc w:val="left"/>
      <w:pPr>
        <w:tabs>
          <w:tab w:val="num" w:pos="5040"/>
        </w:tabs>
        <w:ind w:left="5040" w:hanging="720"/>
      </w:pPr>
      <w:rPr>
        <w:rFonts w:cs="Times New Roman" w:hint="default"/>
      </w:rPr>
    </w:lvl>
    <w:lvl w:ilvl="8">
      <w:start w:val="1"/>
      <w:numFmt w:val="none"/>
      <w:pStyle w:val="Heading9"/>
      <w:suff w:val="nothing"/>
      <w:lvlText w:val=""/>
      <w:lvlJc w:val="left"/>
      <w:pPr>
        <w:ind w:left="-1440" w:firstLine="0"/>
      </w:pPr>
      <w:rPr>
        <w:rFonts w:cs="Times New Roman" w:hint="default"/>
      </w:rPr>
    </w:lvl>
  </w:abstractNum>
  <w:abstractNum w:abstractNumId="14" w15:restartNumberingAfterBreak="0">
    <w:nsid w:val="1BE25B47"/>
    <w:multiLevelType w:val="hybridMultilevel"/>
    <w:tmpl w:val="5148C632"/>
    <w:lvl w:ilvl="0" w:tplc="0DD05AF0">
      <w:start w:val="1"/>
      <w:numFmt w:val="bullet"/>
      <w:pStyle w:val="rptappendixbullets4"/>
      <w:lvlText w:val="–"/>
      <w:lvlJc w:val="left"/>
      <w:pPr>
        <w:ind w:left="1800" w:hanging="360"/>
      </w:pPr>
      <w:rPr>
        <w:rFonts w:ascii="Times New Roman" w:hAnsi="Times New Roman" w:cs="Times New Roman" w:hint="default"/>
        <w:color w:val="000000"/>
      </w:rPr>
    </w:lvl>
    <w:lvl w:ilvl="1" w:tplc="192E5AEE">
      <w:start w:val="1"/>
      <w:numFmt w:val="bullet"/>
      <w:lvlText w:val="o"/>
      <w:lvlJc w:val="left"/>
      <w:pPr>
        <w:ind w:left="2520" w:hanging="360"/>
      </w:pPr>
      <w:rPr>
        <w:rFonts w:ascii="Courier New" w:hAnsi="Courier New" w:cs="Courier New" w:hint="default"/>
      </w:rPr>
    </w:lvl>
    <w:lvl w:ilvl="2" w:tplc="F3AA5976">
      <w:start w:val="1"/>
      <w:numFmt w:val="bullet"/>
      <w:lvlText w:val=""/>
      <w:lvlJc w:val="left"/>
      <w:pPr>
        <w:ind w:left="3240" w:hanging="360"/>
      </w:pPr>
      <w:rPr>
        <w:rFonts w:ascii="Wingdings" w:hAnsi="Wingdings" w:hint="default"/>
      </w:rPr>
    </w:lvl>
    <w:lvl w:ilvl="3" w:tplc="736C7208" w:tentative="1">
      <w:start w:val="1"/>
      <w:numFmt w:val="bullet"/>
      <w:lvlText w:val=""/>
      <w:lvlJc w:val="left"/>
      <w:pPr>
        <w:ind w:left="3960" w:hanging="360"/>
      </w:pPr>
      <w:rPr>
        <w:rFonts w:ascii="Symbol" w:hAnsi="Symbol" w:hint="default"/>
      </w:rPr>
    </w:lvl>
    <w:lvl w:ilvl="4" w:tplc="FF26E268" w:tentative="1">
      <w:start w:val="1"/>
      <w:numFmt w:val="bullet"/>
      <w:lvlText w:val="o"/>
      <w:lvlJc w:val="left"/>
      <w:pPr>
        <w:ind w:left="4680" w:hanging="360"/>
      </w:pPr>
      <w:rPr>
        <w:rFonts w:ascii="Courier New" w:hAnsi="Courier New" w:cs="Courier New" w:hint="default"/>
      </w:rPr>
    </w:lvl>
    <w:lvl w:ilvl="5" w:tplc="3434115E" w:tentative="1">
      <w:start w:val="1"/>
      <w:numFmt w:val="bullet"/>
      <w:lvlText w:val=""/>
      <w:lvlJc w:val="left"/>
      <w:pPr>
        <w:ind w:left="5400" w:hanging="360"/>
      </w:pPr>
      <w:rPr>
        <w:rFonts w:ascii="Wingdings" w:hAnsi="Wingdings" w:hint="default"/>
      </w:rPr>
    </w:lvl>
    <w:lvl w:ilvl="6" w:tplc="A0824A40" w:tentative="1">
      <w:start w:val="1"/>
      <w:numFmt w:val="bullet"/>
      <w:lvlText w:val=""/>
      <w:lvlJc w:val="left"/>
      <w:pPr>
        <w:ind w:left="6120" w:hanging="360"/>
      </w:pPr>
      <w:rPr>
        <w:rFonts w:ascii="Symbol" w:hAnsi="Symbol" w:hint="default"/>
      </w:rPr>
    </w:lvl>
    <w:lvl w:ilvl="7" w:tplc="F3B62C48" w:tentative="1">
      <w:start w:val="1"/>
      <w:numFmt w:val="bullet"/>
      <w:lvlText w:val="o"/>
      <w:lvlJc w:val="left"/>
      <w:pPr>
        <w:ind w:left="6840" w:hanging="360"/>
      </w:pPr>
      <w:rPr>
        <w:rFonts w:ascii="Courier New" w:hAnsi="Courier New" w:cs="Courier New" w:hint="default"/>
      </w:rPr>
    </w:lvl>
    <w:lvl w:ilvl="8" w:tplc="2F4E0EE6" w:tentative="1">
      <w:start w:val="1"/>
      <w:numFmt w:val="bullet"/>
      <w:lvlText w:val=""/>
      <w:lvlJc w:val="left"/>
      <w:pPr>
        <w:ind w:left="7560" w:hanging="360"/>
      </w:pPr>
      <w:rPr>
        <w:rFonts w:ascii="Wingdings" w:hAnsi="Wingdings" w:hint="default"/>
      </w:rPr>
    </w:lvl>
  </w:abstractNum>
  <w:abstractNum w:abstractNumId="15" w15:restartNumberingAfterBreak="0">
    <w:nsid w:val="1C3B2924"/>
    <w:multiLevelType w:val="hybridMultilevel"/>
    <w:tmpl w:val="CF2C43A4"/>
    <w:lvl w:ilvl="0" w:tplc="8098BCB0">
      <w:start w:val="1"/>
      <w:numFmt w:val="bullet"/>
      <w:pStyle w:val="rptappendixbullets2"/>
      <w:lvlText w:val=""/>
      <w:lvlJc w:val="left"/>
      <w:pPr>
        <w:ind w:left="1440" w:hanging="360"/>
      </w:pPr>
      <w:rPr>
        <w:rFonts w:ascii="Symbol" w:hAnsi="Symbol" w:hint="default"/>
        <w:color w:val="000000"/>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16" w15:restartNumberingAfterBreak="0">
    <w:nsid w:val="2A5A7294"/>
    <w:multiLevelType w:val="hybridMultilevel"/>
    <w:tmpl w:val="35264B92"/>
    <w:lvl w:ilvl="0" w:tplc="BDD2A87C">
      <w:start w:val="1"/>
      <w:numFmt w:val="bullet"/>
      <w:pStyle w:val="Bullets"/>
      <w:lvlText w:val=""/>
      <w:lvlJc w:val="left"/>
      <w:pPr>
        <w:ind w:left="720" w:hanging="360"/>
      </w:pPr>
      <w:rPr>
        <w:rFonts w:ascii="Symbol" w:hAnsi="Symbol" w:hint="default"/>
        <w:color w:val="000000"/>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7" w15:restartNumberingAfterBreak="0">
    <w:nsid w:val="2C644607"/>
    <w:multiLevelType w:val="multilevel"/>
    <w:tmpl w:val="E7CAB1A8"/>
    <w:styleLink w:val="Observations"/>
    <w:lvl w:ilvl="0">
      <w:start w:val="1"/>
      <w:numFmt w:val="none"/>
      <w:suff w:val="nothing"/>
      <w:lvlText w:val="%1"/>
      <w:lvlJc w:val="left"/>
      <w:pPr>
        <w:ind w:left="0" w:firstLine="0"/>
      </w:pPr>
      <w:rPr>
        <w:rFonts w:hint="default"/>
      </w:rPr>
    </w:lvl>
    <w:lvl w:ilvl="1">
      <w:start w:val="1"/>
      <w:numFmt w:val="lowerRoman"/>
      <w:lvlText w:val="%2."/>
      <w:lvlJc w:val="left"/>
      <w:pPr>
        <w:tabs>
          <w:tab w:val="num" w:pos="576"/>
        </w:tabs>
        <w:ind w:left="576" w:hanging="576"/>
      </w:pPr>
      <w:rPr>
        <w:rFonts w:hint="default"/>
        <w:color w:val="auto"/>
      </w:rPr>
    </w:lvl>
    <w:lvl w:ilvl="2">
      <w:start w:val="1"/>
      <w:numFmt w:val="bullet"/>
      <w:lvlRestart w:val="0"/>
      <w:lvlText w:val="–"/>
      <w:lvlJc w:val="left"/>
      <w:pPr>
        <w:tabs>
          <w:tab w:val="num" w:pos="1152"/>
        </w:tabs>
        <w:ind w:left="1152" w:hanging="576"/>
      </w:pPr>
      <w:rPr>
        <w:rFonts w:ascii="Calibri" w:hAnsi="Calibri" w:hint="default"/>
        <w:color w:val="auto"/>
      </w:rPr>
    </w:lvl>
    <w:lvl w:ilvl="3">
      <w:start w:val="1"/>
      <w:numFmt w:val="decimal"/>
      <w:lvlText w:val="%4."/>
      <w:lvlJc w:val="left"/>
      <w:pPr>
        <w:tabs>
          <w:tab w:val="num" w:pos="2304"/>
        </w:tabs>
        <w:ind w:left="2304" w:hanging="576"/>
      </w:pPr>
      <w:rPr>
        <w:rFonts w:hint="default"/>
      </w:rPr>
    </w:lvl>
    <w:lvl w:ilvl="4">
      <w:start w:val="1"/>
      <w:numFmt w:val="lowerLetter"/>
      <w:lvlText w:val="%5."/>
      <w:lvlJc w:val="left"/>
      <w:pPr>
        <w:tabs>
          <w:tab w:val="num" w:pos="2880"/>
        </w:tabs>
        <w:ind w:left="2880" w:hanging="576"/>
      </w:pPr>
      <w:rPr>
        <w:rFonts w:hint="default"/>
      </w:rPr>
    </w:lvl>
    <w:lvl w:ilvl="5">
      <w:start w:val="1"/>
      <w:numFmt w:val="lowerRoman"/>
      <w:lvlText w:val="%6."/>
      <w:lvlJc w:val="right"/>
      <w:pPr>
        <w:tabs>
          <w:tab w:val="num" w:pos="3456"/>
        </w:tabs>
        <w:ind w:left="3456" w:hanging="576"/>
      </w:pPr>
      <w:rPr>
        <w:rFonts w:hint="default"/>
      </w:rPr>
    </w:lvl>
    <w:lvl w:ilvl="6">
      <w:start w:val="1"/>
      <w:numFmt w:val="decimal"/>
      <w:lvlText w:val="%7."/>
      <w:lvlJc w:val="left"/>
      <w:pPr>
        <w:tabs>
          <w:tab w:val="num" w:pos="4032"/>
        </w:tabs>
        <w:ind w:left="4032" w:hanging="576"/>
      </w:pPr>
      <w:rPr>
        <w:rFonts w:hint="default"/>
      </w:rPr>
    </w:lvl>
    <w:lvl w:ilvl="7">
      <w:start w:val="1"/>
      <w:numFmt w:val="lowerLetter"/>
      <w:lvlText w:val="%8."/>
      <w:lvlJc w:val="left"/>
      <w:pPr>
        <w:tabs>
          <w:tab w:val="num" w:pos="4608"/>
        </w:tabs>
        <w:ind w:left="4608" w:hanging="576"/>
      </w:pPr>
      <w:rPr>
        <w:rFonts w:hint="default"/>
      </w:rPr>
    </w:lvl>
    <w:lvl w:ilvl="8">
      <w:start w:val="1"/>
      <w:numFmt w:val="lowerRoman"/>
      <w:lvlText w:val="%9."/>
      <w:lvlJc w:val="right"/>
      <w:pPr>
        <w:tabs>
          <w:tab w:val="num" w:pos="5184"/>
        </w:tabs>
        <w:ind w:left="5184" w:hanging="576"/>
      </w:pPr>
      <w:rPr>
        <w:rFonts w:hint="default"/>
      </w:rPr>
    </w:lvl>
  </w:abstractNum>
  <w:abstractNum w:abstractNumId="18" w15:restartNumberingAfterBreak="0">
    <w:nsid w:val="43E31AFE"/>
    <w:multiLevelType w:val="hybridMultilevel"/>
    <w:tmpl w:val="7ACA2120"/>
    <w:lvl w:ilvl="0" w:tplc="91FE5D74">
      <w:start w:val="1"/>
      <w:numFmt w:val="decimal"/>
      <w:lvlRestart w:val="0"/>
      <w:pStyle w:val="AffidavitText"/>
      <w:lvlText w:val="%1."/>
      <w:lvlJc w:val="left"/>
      <w:pPr>
        <w:tabs>
          <w:tab w:val="num" w:pos="1260"/>
        </w:tabs>
        <w:ind w:left="1260" w:hanging="360"/>
      </w:pPr>
      <w:rPr>
        <w:rFonts w:hint="default"/>
        <w:b w:val="0"/>
        <w:bCs w:val="0"/>
        <w:i w:val="0"/>
      </w:rPr>
    </w:lvl>
    <w:lvl w:ilvl="1" w:tplc="FFFFFFFF">
      <w:start w:val="1"/>
      <w:numFmt w:val="bullet"/>
      <w:lvlText w:val=""/>
      <w:lvlJc w:val="left"/>
      <w:pPr>
        <w:tabs>
          <w:tab w:val="num" w:pos="1170"/>
        </w:tabs>
        <w:ind w:left="1170" w:hanging="360"/>
      </w:pPr>
      <w:rPr>
        <w:rFonts w:ascii="Symbol" w:hAnsi="Symbol" w:hint="default"/>
        <w:b w:val="0"/>
        <w:bCs w:val="0"/>
      </w:rPr>
    </w:lvl>
    <w:lvl w:ilvl="2" w:tplc="DDFA4CD2">
      <w:start w:val="1"/>
      <w:numFmt w:val="upperRoman"/>
      <w:lvlText w:val="%3."/>
      <w:lvlJc w:val="left"/>
      <w:pPr>
        <w:tabs>
          <w:tab w:val="num" w:pos="2430"/>
        </w:tabs>
        <w:ind w:left="2430" w:hanging="720"/>
      </w:pPr>
      <w:rPr>
        <w:rFonts w:ascii="Times New Roman" w:hAnsi="Times New Roman" w:cs="Times New Roman" w:hint="default"/>
        <w:b w:val="0"/>
        <w:bCs w:val="0"/>
        <w:i w:val="0"/>
        <w:iCs w:val="0"/>
        <w:caps w:val="0"/>
        <w:smallCaps w:val="0"/>
        <w:strike w:val="0"/>
        <w:dstrike w:val="0"/>
        <w:noProof w:val="0"/>
        <w:snapToGrid w:val="0"/>
        <w:vanish w:val="0"/>
        <w:color w:val="000000"/>
        <w:spacing w:val="0"/>
        <w:w w:val="0"/>
        <w:kern w:val="0"/>
        <w:position w:val="0"/>
        <w:sz w:val="0"/>
        <w:szCs w:val="0"/>
        <w:u w:val="none" w:color="000000"/>
        <w:effect w:val="none"/>
        <w:bdr w:val="none" w:sz="0" w:space="0" w:color="000000"/>
        <w:shd w:val="clear" w:color="000000" w:fill="000000"/>
        <w:vertAlign w:val="baseline"/>
        <w:em w:val="none"/>
        <w:specVanish w:val="0"/>
      </w:rPr>
    </w:lvl>
    <w:lvl w:ilvl="3" w:tplc="FFFFFFFF">
      <w:start w:val="1"/>
      <w:numFmt w:val="decimal"/>
      <w:lvlText w:val="%4."/>
      <w:lvlJc w:val="left"/>
      <w:pPr>
        <w:tabs>
          <w:tab w:val="num" w:pos="2610"/>
        </w:tabs>
        <w:ind w:left="2610" w:hanging="360"/>
      </w:pPr>
      <w:rPr>
        <w:rFonts w:hint="default"/>
        <w:b w:val="0"/>
        <w:bCs w:val="0"/>
      </w:rPr>
    </w:lvl>
    <w:lvl w:ilvl="4" w:tplc="FFFFFFFF" w:tentative="1">
      <w:start w:val="1"/>
      <w:numFmt w:val="lowerLetter"/>
      <w:lvlText w:val="%5."/>
      <w:lvlJc w:val="left"/>
      <w:pPr>
        <w:tabs>
          <w:tab w:val="num" w:pos="3330"/>
        </w:tabs>
        <w:ind w:left="3330" w:hanging="360"/>
      </w:pPr>
    </w:lvl>
    <w:lvl w:ilvl="5" w:tplc="FFFFFFFF" w:tentative="1">
      <w:start w:val="1"/>
      <w:numFmt w:val="lowerRoman"/>
      <w:lvlText w:val="%6."/>
      <w:lvlJc w:val="right"/>
      <w:pPr>
        <w:tabs>
          <w:tab w:val="num" w:pos="4050"/>
        </w:tabs>
        <w:ind w:left="4050" w:hanging="180"/>
      </w:pPr>
    </w:lvl>
    <w:lvl w:ilvl="6" w:tplc="FFFFFFFF" w:tentative="1">
      <w:start w:val="1"/>
      <w:numFmt w:val="decimal"/>
      <w:lvlText w:val="%7."/>
      <w:lvlJc w:val="left"/>
      <w:pPr>
        <w:tabs>
          <w:tab w:val="num" w:pos="4770"/>
        </w:tabs>
        <w:ind w:left="4770" w:hanging="360"/>
      </w:pPr>
    </w:lvl>
    <w:lvl w:ilvl="7" w:tplc="FFFFFFFF" w:tentative="1">
      <w:start w:val="1"/>
      <w:numFmt w:val="lowerLetter"/>
      <w:lvlText w:val="%8."/>
      <w:lvlJc w:val="left"/>
      <w:pPr>
        <w:tabs>
          <w:tab w:val="num" w:pos="5490"/>
        </w:tabs>
        <w:ind w:left="5490" w:hanging="360"/>
      </w:pPr>
    </w:lvl>
    <w:lvl w:ilvl="8" w:tplc="FFFFFFFF" w:tentative="1">
      <w:start w:val="1"/>
      <w:numFmt w:val="lowerRoman"/>
      <w:lvlText w:val="%9."/>
      <w:lvlJc w:val="right"/>
      <w:pPr>
        <w:tabs>
          <w:tab w:val="num" w:pos="6210"/>
        </w:tabs>
        <w:ind w:left="6210" w:hanging="180"/>
      </w:pPr>
    </w:lvl>
  </w:abstractNum>
  <w:abstractNum w:abstractNumId="19" w15:restartNumberingAfterBreak="0">
    <w:nsid w:val="444F4045"/>
    <w:multiLevelType w:val="hybridMultilevel"/>
    <w:tmpl w:val="0B5C1D58"/>
    <w:lvl w:ilvl="0" w:tplc="3F3C2E56">
      <w:start w:val="2"/>
      <w:numFmt w:val="bullet"/>
      <w:lvlText w:val="-"/>
      <w:lvlJc w:val="left"/>
      <w:pPr>
        <w:ind w:left="720" w:hanging="360"/>
      </w:pPr>
      <w:rPr>
        <w:rFonts w:ascii="Times New Roman" w:eastAsia="Times New Roman" w:hAnsi="Times New Roman" w:cs="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0" w15:restartNumberingAfterBreak="0">
    <w:nsid w:val="47DA2C89"/>
    <w:multiLevelType w:val="hybridMultilevel"/>
    <w:tmpl w:val="3D96F09C"/>
    <w:lvl w:ilvl="0" w:tplc="45343750">
      <w:start w:val="1"/>
      <w:numFmt w:val="upperRoman"/>
      <w:pStyle w:val="rptmainbodyheading1"/>
      <w:lvlText w:val="%1."/>
      <w:lvlJc w:val="righ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1" w15:restartNumberingAfterBreak="0">
    <w:nsid w:val="48065F53"/>
    <w:multiLevelType w:val="hybridMultilevel"/>
    <w:tmpl w:val="DE285EE0"/>
    <w:lvl w:ilvl="0" w:tplc="2E6AEA90">
      <w:start w:val="1"/>
      <w:numFmt w:val="upperRoman"/>
      <w:pStyle w:val="rptappendixheading1"/>
      <w:lvlText w:val="%1."/>
      <w:lvlJc w:val="right"/>
      <w:pPr>
        <w:ind w:left="360" w:hanging="360"/>
      </w:pPr>
    </w:lvl>
    <w:lvl w:ilvl="1" w:tplc="04090019" w:tentative="1">
      <w:start w:val="1"/>
      <w:numFmt w:val="lowerLetter"/>
      <w:lvlText w:val="%2."/>
      <w:lvlJc w:val="left"/>
      <w:pPr>
        <w:ind w:left="2160" w:hanging="360"/>
      </w:pPr>
    </w:lvl>
    <w:lvl w:ilvl="2" w:tplc="0409001B" w:tentative="1">
      <w:start w:val="1"/>
      <w:numFmt w:val="lowerRoman"/>
      <w:lvlText w:val="%3."/>
      <w:lvlJc w:val="right"/>
      <w:pPr>
        <w:ind w:left="2880" w:hanging="180"/>
      </w:pPr>
    </w:lvl>
    <w:lvl w:ilvl="3" w:tplc="0409000F" w:tentative="1">
      <w:start w:val="1"/>
      <w:numFmt w:val="decimal"/>
      <w:lvlText w:val="%4."/>
      <w:lvlJc w:val="left"/>
      <w:pPr>
        <w:ind w:left="3600" w:hanging="360"/>
      </w:pPr>
    </w:lvl>
    <w:lvl w:ilvl="4" w:tplc="04090019" w:tentative="1">
      <w:start w:val="1"/>
      <w:numFmt w:val="lowerLetter"/>
      <w:lvlText w:val="%5."/>
      <w:lvlJc w:val="left"/>
      <w:pPr>
        <w:ind w:left="4320" w:hanging="360"/>
      </w:pPr>
    </w:lvl>
    <w:lvl w:ilvl="5" w:tplc="0409001B" w:tentative="1">
      <w:start w:val="1"/>
      <w:numFmt w:val="lowerRoman"/>
      <w:lvlText w:val="%6."/>
      <w:lvlJc w:val="right"/>
      <w:pPr>
        <w:ind w:left="5040" w:hanging="180"/>
      </w:pPr>
    </w:lvl>
    <w:lvl w:ilvl="6" w:tplc="0409000F" w:tentative="1">
      <w:start w:val="1"/>
      <w:numFmt w:val="decimal"/>
      <w:lvlText w:val="%7."/>
      <w:lvlJc w:val="left"/>
      <w:pPr>
        <w:ind w:left="5760" w:hanging="360"/>
      </w:pPr>
    </w:lvl>
    <w:lvl w:ilvl="7" w:tplc="04090019" w:tentative="1">
      <w:start w:val="1"/>
      <w:numFmt w:val="lowerLetter"/>
      <w:lvlText w:val="%8."/>
      <w:lvlJc w:val="left"/>
      <w:pPr>
        <w:ind w:left="6480" w:hanging="360"/>
      </w:pPr>
    </w:lvl>
    <w:lvl w:ilvl="8" w:tplc="0409001B" w:tentative="1">
      <w:start w:val="1"/>
      <w:numFmt w:val="lowerRoman"/>
      <w:lvlText w:val="%9."/>
      <w:lvlJc w:val="right"/>
      <w:pPr>
        <w:ind w:left="7200" w:hanging="180"/>
      </w:pPr>
    </w:lvl>
  </w:abstractNum>
  <w:abstractNum w:abstractNumId="22" w15:restartNumberingAfterBreak="0">
    <w:nsid w:val="4D114942"/>
    <w:multiLevelType w:val="hybridMultilevel"/>
    <w:tmpl w:val="C2BC4E6E"/>
    <w:lvl w:ilvl="0" w:tplc="04090013">
      <w:start w:val="1"/>
      <w:numFmt w:val="decimal"/>
      <w:lvlText w:val="%1."/>
      <w:lvlJc w:val="left"/>
      <w:pPr>
        <w:ind w:left="720" w:hanging="360"/>
      </w:pPr>
    </w:lvl>
    <w:lvl w:ilvl="1" w:tplc="3064CEC4">
      <w:start w:val="1"/>
      <w:numFmt w:val="lowerLetter"/>
      <w:pStyle w:val="rptrecommendbullets2"/>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3" w15:restartNumberingAfterBreak="0">
    <w:nsid w:val="53093FF2"/>
    <w:multiLevelType w:val="multilevel"/>
    <w:tmpl w:val="1624EBD2"/>
    <w:lvl w:ilvl="0">
      <w:start w:val="1"/>
      <w:numFmt w:val="upperLetter"/>
      <w:lvlText w:val="%1."/>
      <w:lvlJc w:val="left"/>
      <w:pPr>
        <w:tabs>
          <w:tab w:val="num" w:pos="360"/>
        </w:tabs>
        <w:ind w:left="893" w:hanging="893"/>
      </w:pPr>
      <w:rPr>
        <w:rFonts w:hint="default"/>
      </w:rPr>
    </w:lvl>
    <w:lvl w:ilvl="1">
      <w:start w:val="1"/>
      <w:numFmt w:val="upperLetter"/>
      <w:lvlText w:val="%2."/>
      <w:lvlJc w:val="left"/>
      <w:pPr>
        <w:tabs>
          <w:tab w:val="num" w:pos="576"/>
        </w:tabs>
        <w:ind w:left="576" w:hanging="576"/>
      </w:pPr>
      <w:rPr>
        <w:rFonts w:ascii="Times New Roman" w:hAnsi="Times New Roman" w:hint="default"/>
        <w:bCs w:val="0"/>
        <w:i w:val="0"/>
        <w:iCs w:val="0"/>
        <w:caps w:val="0"/>
        <w:smallCaps w:val="0"/>
        <w:strike w:val="0"/>
        <w:dstrike w:val="0"/>
        <w:vanish w:val="0"/>
        <w:spacing w:val="0"/>
        <w:kern w:val="0"/>
        <w:position w:val="0"/>
        <w:u w:val="none"/>
        <w:effect w:val="none"/>
        <w:vertAlign w:val="baseline"/>
        <w:em w:val="none"/>
      </w:rPr>
    </w:lvl>
    <w:lvl w:ilvl="2">
      <w:start w:val="1"/>
      <w:numFmt w:val="decimal"/>
      <w:pStyle w:val="rptmainbodyheading3"/>
      <w:lvlText w:val="%3."/>
      <w:lvlJc w:val="left"/>
      <w:pPr>
        <w:tabs>
          <w:tab w:val="num" w:pos="1080"/>
        </w:tabs>
        <w:ind w:left="1080" w:hanging="360"/>
      </w:pPr>
      <w:rPr>
        <w:rFonts w:cs="Times New Roman" w:hint="default"/>
      </w:rPr>
    </w:lvl>
    <w:lvl w:ilvl="3">
      <w:start w:val="1"/>
      <w:numFmt w:val="bullet"/>
      <w:lvlText w:val=""/>
      <w:lvlJc w:val="left"/>
      <w:pPr>
        <w:tabs>
          <w:tab w:val="num" w:pos="1440"/>
        </w:tabs>
        <w:ind w:left="1440" w:hanging="360"/>
      </w:pPr>
      <w:rPr>
        <w:rFonts w:ascii="Symbol" w:hAnsi="Symbol" w:hint="default"/>
      </w:rPr>
    </w:lvl>
    <w:lvl w:ilvl="4">
      <w:start w:val="1"/>
      <w:numFmt w:val="bullet"/>
      <w:lvlText w:val=""/>
      <w:lvlJc w:val="left"/>
      <w:pPr>
        <w:tabs>
          <w:tab w:val="num" w:pos="1800"/>
        </w:tabs>
        <w:ind w:left="1800" w:hanging="360"/>
      </w:pPr>
      <w:rPr>
        <w:rFonts w:ascii="Symbol" w:hAnsi="Symbol" w:hint="default"/>
      </w:rPr>
    </w:lvl>
    <w:lvl w:ilvl="5">
      <w:start w:val="1"/>
      <w:numFmt w:val="bullet"/>
      <w:lvlText w:val=""/>
      <w:lvlJc w:val="left"/>
      <w:pPr>
        <w:tabs>
          <w:tab w:val="num" w:pos="2160"/>
        </w:tabs>
        <w:ind w:left="2160" w:hanging="360"/>
      </w:pPr>
      <w:rPr>
        <w:rFonts w:ascii="Wingdings" w:hAnsi="Wingdings" w:hint="default"/>
      </w:rPr>
    </w:lvl>
    <w:lvl w:ilvl="6">
      <w:start w:val="1"/>
      <w:numFmt w:val="bullet"/>
      <w:lvlText w:val=""/>
      <w:lvlJc w:val="left"/>
      <w:pPr>
        <w:tabs>
          <w:tab w:val="num" w:pos="2520"/>
        </w:tabs>
        <w:ind w:left="2520" w:hanging="360"/>
      </w:pPr>
      <w:rPr>
        <w:rFonts w:ascii="Wingdings" w:hAnsi="Wingdings" w:hint="default"/>
      </w:rPr>
    </w:lvl>
    <w:lvl w:ilvl="7">
      <w:start w:val="1"/>
      <w:numFmt w:val="bullet"/>
      <w:lvlText w:val=""/>
      <w:lvlJc w:val="left"/>
      <w:pPr>
        <w:tabs>
          <w:tab w:val="num" w:pos="2880"/>
        </w:tabs>
        <w:ind w:left="2880" w:hanging="360"/>
      </w:pPr>
      <w:rPr>
        <w:rFonts w:ascii="Symbol" w:hAnsi="Symbol" w:hint="default"/>
      </w:rPr>
    </w:lvl>
    <w:lvl w:ilvl="8">
      <w:start w:val="1"/>
      <w:numFmt w:val="bullet"/>
      <w:lvlText w:val=""/>
      <w:lvlJc w:val="left"/>
      <w:pPr>
        <w:tabs>
          <w:tab w:val="num" w:pos="3240"/>
        </w:tabs>
        <w:ind w:left="3240" w:hanging="360"/>
      </w:pPr>
      <w:rPr>
        <w:rFonts w:ascii="Symbol" w:hAnsi="Symbol" w:hint="default"/>
      </w:rPr>
    </w:lvl>
  </w:abstractNum>
  <w:abstractNum w:abstractNumId="24" w15:restartNumberingAfterBreak="0">
    <w:nsid w:val="566B7CDC"/>
    <w:multiLevelType w:val="hybridMultilevel"/>
    <w:tmpl w:val="BA4C76A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5" w15:restartNumberingAfterBreak="0">
    <w:nsid w:val="586A33BA"/>
    <w:multiLevelType w:val="hybridMultilevel"/>
    <w:tmpl w:val="0854FB9A"/>
    <w:lvl w:ilvl="0" w:tplc="EABA8C3C">
      <w:start w:val="1"/>
      <w:numFmt w:val="upperLetter"/>
      <w:pStyle w:val="rptmainbodyheading2"/>
      <w:lvlText w:val="%1."/>
      <w:lvlJc w:val="left"/>
      <w:pPr>
        <w:ind w:left="576" w:hanging="576"/>
      </w:pPr>
      <w:rPr>
        <w:rFonts w:hint="default"/>
        <w:b/>
        <w:bCs w:val="0"/>
        <w:color w:val="214DAF"/>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26" w15:restartNumberingAfterBreak="0">
    <w:nsid w:val="5CB12BFC"/>
    <w:multiLevelType w:val="multilevel"/>
    <w:tmpl w:val="30466FFA"/>
    <w:lvl w:ilvl="0">
      <w:start w:val="1"/>
      <w:numFmt w:val="decimal"/>
      <w:pStyle w:val="RecBullets"/>
      <w:lvlText w:val="%1."/>
      <w:lvlJc w:val="left"/>
      <w:pPr>
        <w:ind w:left="360" w:hanging="360"/>
      </w:pPr>
      <w:rPr>
        <w:rFonts w:hint="default"/>
        <w:color w:val="auto"/>
      </w:r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27" w15:restartNumberingAfterBreak="0">
    <w:nsid w:val="5D4326E5"/>
    <w:multiLevelType w:val="hybridMultilevel"/>
    <w:tmpl w:val="686C59A2"/>
    <w:lvl w:ilvl="0" w:tplc="00E003FE">
      <w:start w:val="1"/>
      <w:numFmt w:val="bullet"/>
      <w:pStyle w:val="Bullets2"/>
      <w:lvlText w:val=""/>
      <w:lvlJc w:val="left"/>
      <w:pPr>
        <w:tabs>
          <w:tab w:val="num" w:pos="6912"/>
        </w:tabs>
        <w:ind w:left="6912" w:hanging="432"/>
      </w:pPr>
      <w:rPr>
        <w:rFonts w:ascii="Wingdings" w:hAnsi="Wingdings" w:hint="default"/>
        <w:color w:val="000000"/>
      </w:rPr>
    </w:lvl>
    <w:lvl w:ilvl="1" w:tplc="04090003">
      <w:start w:val="1"/>
      <w:numFmt w:val="bullet"/>
      <w:lvlText w:val="o"/>
      <w:lvlJc w:val="left"/>
      <w:pPr>
        <w:tabs>
          <w:tab w:val="num" w:pos="7632"/>
        </w:tabs>
        <w:ind w:left="7632" w:hanging="360"/>
      </w:pPr>
      <w:rPr>
        <w:rFonts w:ascii="Courier New" w:hAnsi="Courier New" w:hint="default"/>
      </w:rPr>
    </w:lvl>
    <w:lvl w:ilvl="2" w:tplc="04090005" w:tentative="1">
      <w:start w:val="1"/>
      <w:numFmt w:val="bullet"/>
      <w:lvlText w:val=""/>
      <w:lvlJc w:val="left"/>
      <w:pPr>
        <w:tabs>
          <w:tab w:val="num" w:pos="8352"/>
        </w:tabs>
        <w:ind w:left="8352" w:hanging="360"/>
      </w:pPr>
      <w:rPr>
        <w:rFonts w:ascii="Wingdings" w:hAnsi="Wingdings" w:hint="default"/>
      </w:rPr>
    </w:lvl>
    <w:lvl w:ilvl="3" w:tplc="04090001" w:tentative="1">
      <w:start w:val="1"/>
      <w:numFmt w:val="bullet"/>
      <w:lvlText w:val=""/>
      <w:lvlJc w:val="left"/>
      <w:pPr>
        <w:tabs>
          <w:tab w:val="num" w:pos="9072"/>
        </w:tabs>
        <w:ind w:left="9072" w:hanging="360"/>
      </w:pPr>
      <w:rPr>
        <w:rFonts w:ascii="Symbol" w:hAnsi="Symbol" w:hint="default"/>
      </w:rPr>
    </w:lvl>
    <w:lvl w:ilvl="4" w:tplc="04090003" w:tentative="1">
      <w:start w:val="1"/>
      <w:numFmt w:val="bullet"/>
      <w:lvlText w:val="o"/>
      <w:lvlJc w:val="left"/>
      <w:pPr>
        <w:tabs>
          <w:tab w:val="num" w:pos="9792"/>
        </w:tabs>
        <w:ind w:left="9792" w:hanging="360"/>
      </w:pPr>
      <w:rPr>
        <w:rFonts w:ascii="Courier New" w:hAnsi="Courier New" w:hint="default"/>
      </w:rPr>
    </w:lvl>
    <w:lvl w:ilvl="5" w:tplc="04090005" w:tentative="1">
      <w:start w:val="1"/>
      <w:numFmt w:val="bullet"/>
      <w:lvlText w:val=""/>
      <w:lvlJc w:val="left"/>
      <w:pPr>
        <w:tabs>
          <w:tab w:val="num" w:pos="10512"/>
        </w:tabs>
        <w:ind w:left="10512" w:hanging="360"/>
      </w:pPr>
      <w:rPr>
        <w:rFonts w:ascii="Wingdings" w:hAnsi="Wingdings" w:hint="default"/>
      </w:rPr>
    </w:lvl>
    <w:lvl w:ilvl="6" w:tplc="04090001" w:tentative="1">
      <w:start w:val="1"/>
      <w:numFmt w:val="bullet"/>
      <w:lvlText w:val=""/>
      <w:lvlJc w:val="left"/>
      <w:pPr>
        <w:tabs>
          <w:tab w:val="num" w:pos="11232"/>
        </w:tabs>
        <w:ind w:left="11232" w:hanging="360"/>
      </w:pPr>
      <w:rPr>
        <w:rFonts w:ascii="Symbol" w:hAnsi="Symbol" w:hint="default"/>
      </w:rPr>
    </w:lvl>
    <w:lvl w:ilvl="7" w:tplc="04090003" w:tentative="1">
      <w:start w:val="1"/>
      <w:numFmt w:val="bullet"/>
      <w:lvlText w:val="o"/>
      <w:lvlJc w:val="left"/>
      <w:pPr>
        <w:tabs>
          <w:tab w:val="num" w:pos="11952"/>
        </w:tabs>
        <w:ind w:left="11952" w:hanging="360"/>
      </w:pPr>
      <w:rPr>
        <w:rFonts w:ascii="Courier New" w:hAnsi="Courier New" w:hint="default"/>
      </w:rPr>
    </w:lvl>
    <w:lvl w:ilvl="8" w:tplc="04090005" w:tentative="1">
      <w:start w:val="1"/>
      <w:numFmt w:val="bullet"/>
      <w:lvlText w:val=""/>
      <w:lvlJc w:val="left"/>
      <w:pPr>
        <w:tabs>
          <w:tab w:val="num" w:pos="12672"/>
        </w:tabs>
        <w:ind w:left="12672" w:hanging="360"/>
      </w:pPr>
      <w:rPr>
        <w:rFonts w:ascii="Wingdings" w:hAnsi="Wingdings" w:hint="default"/>
      </w:rPr>
    </w:lvl>
  </w:abstractNum>
  <w:abstractNum w:abstractNumId="28" w15:restartNumberingAfterBreak="0">
    <w:nsid w:val="61484F1C"/>
    <w:multiLevelType w:val="hybridMultilevel"/>
    <w:tmpl w:val="E93C2462"/>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9" w15:restartNumberingAfterBreak="0">
    <w:nsid w:val="62C2037D"/>
    <w:multiLevelType w:val="hybridMultilevel"/>
    <w:tmpl w:val="8D2AFCD2"/>
    <w:lvl w:ilvl="0" w:tplc="24925D60">
      <w:numFmt w:val="bullet"/>
      <w:lvlText w:val="-"/>
      <w:lvlJc w:val="left"/>
      <w:pPr>
        <w:ind w:left="720" w:hanging="360"/>
      </w:pPr>
      <w:rPr>
        <w:rFonts w:ascii="Times New Roman" w:eastAsia="Times New Roman" w:hAnsi="Times New Roman" w:cs="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0" w15:restartNumberingAfterBreak="0">
    <w:nsid w:val="65734327"/>
    <w:multiLevelType w:val="hybridMultilevel"/>
    <w:tmpl w:val="8CC278BC"/>
    <w:lvl w:ilvl="0" w:tplc="2BA6FCB6">
      <w:start w:val="1"/>
      <w:numFmt w:val="upperLetter"/>
      <w:pStyle w:val="rptappendixheading2"/>
      <w:lvlText w:val="%1."/>
      <w:lvlJc w:val="left"/>
      <w:pPr>
        <w:ind w:left="360" w:hanging="360"/>
      </w:pPr>
      <w:rPr>
        <w:rFonts w:hint="default"/>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31" w15:restartNumberingAfterBreak="0">
    <w:nsid w:val="6DA40545"/>
    <w:multiLevelType w:val="hybridMultilevel"/>
    <w:tmpl w:val="2D4C417E"/>
    <w:lvl w:ilvl="0" w:tplc="8BFA72B8">
      <w:start w:val="1"/>
      <w:numFmt w:val="bullet"/>
      <w:pStyle w:val="rptexecsummbullets1"/>
      <w:lvlText w:val=""/>
      <w:lvlJc w:val="left"/>
      <w:pPr>
        <w:ind w:left="720" w:hanging="360"/>
      </w:pPr>
      <w:rPr>
        <w:rFonts w:ascii="Symbol" w:hAnsi="Symbol" w:hint="default"/>
      </w:rPr>
    </w:lvl>
    <w:lvl w:ilvl="1" w:tplc="D586159C">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2" w15:restartNumberingAfterBreak="0">
    <w:nsid w:val="7FBA4CAC"/>
    <w:multiLevelType w:val="hybridMultilevel"/>
    <w:tmpl w:val="6A4EA1C2"/>
    <w:lvl w:ilvl="0" w:tplc="7AEE7B56">
      <w:start w:val="1"/>
      <w:numFmt w:val="bullet"/>
      <w:pStyle w:val="rptmainbodybullets2"/>
      <w:lvlText w:val="o"/>
      <w:lvlJc w:val="left"/>
      <w:pPr>
        <w:ind w:left="1440" w:hanging="360"/>
      </w:pPr>
      <w:rPr>
        <w:rFonts w:ascii="Courier New" w:hAnsi="Courier New" w:cs="Courier New"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num w:numId="1">
    <w:abstractNumId w:val="22"/>
  </w:num>
  <w:num w:numId="2">
    <w:abstractNumId w:val="17"/>
  </w:num>
  <w:num w:numId="3">
    <w:abstractNumId w:val="13"/>
  </w:num>
  <w:num w:numId="4">
    <w:abstractNumId w:val="20"/>
  </w:num>
  <w:num w:numId="5">
    <w:abstractNumId w:val="31"/>
  </w:num>
  <w:num w:numId="6">
    <w:abstractNumId w:val="14"/>
  </w:num>
  <w:num w:numId="7">
    <w:abstractNumId w:val="25"/>
  </w:num>
  <w:num w:numId="8">
    <w:abstractNumId w:val="21"/>
  </w:num>
  <w:num w:numId="9">
    <w:abstractNumId w:val="30"/>
  </w:num>
  <w:num w:numId="10">
    <w:abstractNumId w:val="16"/>
  </w:num>
  <w:num w:numId="11">
    <w:abstractNumId w:val="18"/>
  </w:num>
  <w:num w:numId="12">
    <w:abstractNumId w:val="26"/>
  </w:num>
  <w:num w:numId="13">
    <w:abstractNumId w:val="23"/>
    <w:lvlOverride w:ilvl="0">
      <w:startOverride w:val="1"/>
    </w:lvlOverride>
    <w:lvlOverride w:ilvl="1">
      <w:startOverride w:val="1"/>
    </w:lvlOverride>
    <w:lvlOverride w:ilvl="2">
      <w:startOverride w:val="1"/>
    </w:lvlOverride>
    <w:lvlOverride w:ilvl="3"/>
    <w:lvlOverride w:ilvl="4"/>
    <w:lvlOverride w:ilvl="5"/>
    <w:lvlOverride w:ilvl="6"/>
    <w:lvlOverride w:ilvl="7"/>
    <w:lvlOverride w:ilvl="8"/>
  </w:num>
  <w:num w:numId="14">
    <w:abstractNumId w:val="27"/>
  </w:num>
  <w:num w:numId="15">
    <w:abstractNumId w:val="25"/>
    <w:lvlOverride w:ilvl="0">
      <w:startOverride w:val="1"/>
    </w:lvlOverride>
  </w:num>
  <w:num w:numId="16">
    <w:abstractNumId w:val="25"/>
    <w:lvlOverride w:ilvl="0">
      <w:startOverride w:val="1"/>
    </w:lvlOverride>
  </w:num>
  <w:num w:numId="17">
    <w:abstractNumId w:val="32"/>
  </w:num>
  <w:num w:numId="18">
    <w:abstractNumId w:val="12"/>
  </w:num>
  <w:num w:numId="19">
    <w:abstractNumId w:val="11"/>
  </w:num>
  <w:num w:numId="20">
    <w:abstractNumId w:val="15"/>
  </w:num>
  <w:num w:numId="21">
    <w:abstractNumId w:val="9"/>
  </w:num>
  <w:num w:numId="22">
    <w:abstractNumId w:val="7"/>
  </w:num>
  <w:num w:numId="23">
    <w:abstractNumId w:val="6"/>
  </w:num>
  <w:num w:numId="24">
    <w:abstractNumId w:val="5"/>
  </w:num>
  <w:num w:numId="25">
    <w:abstractNumId w:val="4"/>
  </w:num>
  <w:num w:numId="26">
    <w:abstractNumId w:val="8"/>
  </w:num>
  <w:num w:numId="27">
    <w:abstractNumId w:val="3"/>
  </w:num>
  <w:num w:numId="28">
    <w:abstractNumId w:val="2"/>
  </w:num>
  <w:num w:numId="29">
    <w:abstractNumId w:val="1"/>
  </w:num>
  <w:num w:numId="30">
    <w:abstractNumId w:val="0"/>
  </w:num>
  <w:num w:numId="31">
    <w:abstractNumId w:val="25"/>
    <w:lvlOverride w:ilvl="0">
      <w:startOverride w:val="1"/>
    </w:lvlOverride>
  </w:num>
  <w:num w:numId="32">
    <w:abstractNumId w:val="19"/>
  </w:num>
  <w:num w:numId="33">
    <w:abstractNumId w:val="10"/>
  </w:num>
  <w:num w:numId="34">
    <w:abstractNumId w:val="24"/>
  </w:num>
  <w:num w:numId="35">
    <w:abstractNumId w:val="28"/>
  </w:num>
  <w:num w:numId="36">
    <w:abstractNumId w:val="29"/>
  </w:num>
  <w:num w:numId="37">
    <w:abstractNumId w:val="25"/>
  </w:num>
  <w:num w:numId="38">
    <w:abstractNumId w:val="23"/>
  </w:num>
  <w:num w:numId="39">
    <w:abstractNumId w:val="23"/>
    <w:lvlOverride w:ilvl="0">
      <w:startOverride w:val="1"/>
    </w:lvlOverride>
    <w:lvlOverride w:ilvl="1">
      <w:startOverride w:val="3"/>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0">
    <w:abstractNumId w:val="2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1">
    <w:abstractNumId w:val="23"/>
    <w:lvlOverride w:ilvl="0">
      <w:startOverride w:val="1"/>
    </w:lvlOverride>
    <w:lvlOverride w:ilvl="1">
      <w:startOverride w:val="3"/>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2">
    <w:abstractNumId w:val="2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3">
    <w:abstractNumId w:val="20"/>
    <w:lvlOverride w:ilvl="0">
      <w:startOverride w:val="3"/>
    </w:lvlOverride>
  </w:num>
  <w:num w:numId="44">
    <w:abstractNumId w:val="20"/>
    <w:lvlOverride w:ilvl="0">
      <w:startOverride w:val="3"/>
    </w:lvlOverride>
  </w:num>
  <w:numIdMacAtCleanup w:val="32"/>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90"/>
  <w:removePersonalInformation/>
  <w:removeDateAndTime/>
  <w:activeWritingStyle w:appName="MSWord" w:lang="en-US" w:vendorID="64" w:dllVersion="0" w:nlCheck="1" w:checkStyle="0"/>
  <w:activeWritingStyle w:appName="MSWord" w:lang="en-GB" w:vendorID="64" w:dllVersion="0" w:nlCheck="1" w:checkStyle="1"/>
  <w:activeWritingStyle w:appName="MSWord" w:lang="en-US" w:vendorID="64" w:dllVersion="6" w:nlCheck="1" w:checkStyle="1"/>
  <w:activeWritingStyle w:appName="MSWord" w:lang="en-US" w:vendorID="64" w:dllVersion="4096" w:nlCheck="1" w:checkStyle="0"/>
  <w:activeWritingStyle w:appName="MSWord" w:lang="es-MX" w:vendorID="64" w:dllVersion="0" w:nlCheck="1" w:checkStyle="0"/>
  <w:trackRevisions/>
  <w:defaultTabStop w:val="720"/>
  <w:evenAndOddHeaders/>
  <w:characterSpacingControl w:val="doNotCompress"/>
  <w:hdrShapeDefaults>
    <o:shapedefaults v:ext="edit" spidmax="2049"/>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6103BB"/>
    <w:rsid w:val="00000354"/>
    <w:rsid w:val="0000066B"/>
    <w:rsid w:val="000007EE"/>
    <w:rsid w:val="00000D10"/>
    <w:rsid w:val="000010BD"/>
    <w:rsid w:val="0000113F"/>
    <w:rsid w:val="000013C7"/>
    <w:rsid w:val="000016B3"/>
    <w:rsid w:val="000016C0"/>
    <w:rsid w:val="00001A8D"/>
    <w:rsid w:val="00001ADC"/>
    <w:rsid w:val="00001C2C"/>
    <w:rsid w:val="00002011"/>
    <w:rsid w:val="00002170"/>
    <w:rsid w:val="00002391"/>
    <w:rsid w:val="0000242A"/>
    <w:rsid w:val="00002AAD"/>
    <w:rsid w:val="0000315F"/>
    <w:rsid w:val="0000376F"/>
    <w:rsid w:val="000039A7"/>
    <w:rsid w:val="00003CD3"/>
    <w:rsid w:val="00003DA3"/>
    <w:rsid w:val="00003E43"/>
    <w:rsid w:val="00003F0E"/>
    <w:rsid w:val="000045EF"/>
    <w:rsid w:val="0000491D"/>
    <w:rsid w:val="000059D2"/>
    <w:rsid w:val="00005F90"/>
    <w:rsid w:val="0000627F"/>
    <w:rsid w:val="0000635A"/>
    <w:rsid w:val="000065AF"/>
    <w:rsid w:val="00006788"/>
    <w:rsid w:val="000068C0"/>
    <w:rsid w:val="00006B3E"/>
    <w:rsid w:val="00006BD0"/>
    <w:rsid w:val="00006CBB"/>
    <w:rsid w:val="00006CCD"/>
    <w:rsid w:val="00007164"/>
    <w:rsid w:val="00007679"/>
    <w:rsid w:val="00007B35"/>
    <w:rsid w:val="0001022A"/>
    <w:rsid w:val="0001034F"/>
    <w:rsid w:val="000103BE"/>
    <w:rsid w:val="00010A72"/>
    <w:rsid w:val="00010C15"/>
    <w:rsid w:val="00010D0D"/>
    <w:rsid w:val="00010FDB"/>
    <w:rsid w:val="00011047"/>
    <w:rsid w:val="0001111C"/>
    <w:rsid w:val="0001117C"/>
    <w:rsid w:val="00011BDA"/>
    <w:rsid w:val="000120C5"/>
    <w:rsid w:val="000125CE"/>
    <w:rsid w:val="000129B0"/>
    <w:rsid w:val="00012C46"/>
    <w:rsid w:val="00012EEA"/>
    <w:rsid w:val="00013006"/>
    <w:rsid w:val="000130CF"/>
    <w:rsid w:val="0001313B"/>
    <w:rsid w:val="000132EA"/>
    <w:rsid w:val="000134A1"/>
    <w:rsid w:val="00013531"/>
    <w:rsid w:val="0001357F"/>
    <w:rsid w:val="00013985"/>
    <w:rsid w:val="00013B42"/>
    <w:rsid w:val="00013E05"/>
    <w:rsid w:val="00013E7B"/>
    <w:rsid w:val="0001431B"/>
    <w:rsid w:val="00014558"/>
    <w:rsid w:val="0001492F"/>
    <w:rsid w:val="00014994"/>
    <w:rsid w:val="00014A04"/>
    <w:rsid w:val="00014A15"/>
    <w:rsid w:val="00014A2B"/>
    <w:rsid w:val="000150B8"/>
    <w:rsid w:val="00015223"/>
    <w:rsid w:val="000152AC"/>
    <w:rsid w:val="00015346"/>
    <w:rsid w:val="0001564E"/>
    <w:rsid w:val="00015C82"/>
    <w:rsid w:val="00016271"/>
    <w:rsid w:val="00016649"/>
    <w:rsid w:val="000166BC"/>
    <w:rsid w:val="000171E3"/>
    <w:rsid w:val="000172BB"/>
    <w:rsid w:val="0001730F"/>
    <w:rsid w:val="0001796E"/>
    <w:rsid w:val="00017A2D"/>
    <w:rsid w:val="00017A73"/>
    <w:rsid w:val="00017D89"/>
    <w:rsid w:val="00017EA5"/>
    <w:rsid w:val="00020392"/>
    <w:rsid w:val="000204EE"/>
    <w:rsid w:val="000205B2"/>
    <w:rsid w:val="00020853"/>
    <w:rsid w:val="00020875"/>
    <w:rsid w:val="00020B7F"/>
    <w:rsid w:val="00020C4B"/>
    <w:rsid w:val="00021018"/>
    <w:rsid w:val="00021759"/>
    <w:rsid w:val="00021A80"/>
    <w:rsid w:val="00021CFC"/>
    <w:rsid w:val="00021F7E"/>
    <w:rsid w:val="00022169"/>
    <w:rsid w:val="00022481"/>
    <w:rsid w:val="0002283D"/>
    <w:rsid w:val="00022F6D"/>
    <w:rsid w:val="00022FFD"/>
    <w:rsid w:val="000230F4"/>
    <w:rsid w:val="00023676"/>
    <w:rsid w:val="00023A10"/>
    <w:rsid w:val="00023CF8"/>
    <w:rsid w:val="00023E50"/>
    <w:rsid w:val="00023EDB"/>
    <w:rsid w:val="0002408B"/>
    <w:rsid w:val="00024438"/>
    <w:rsid w:val="00024686"/>
    <w:rsid w:val="0002469A"/>
    <w:rsid w:val="000247A6"/>
    <w:rsid w:val="000249E2"/>
    <w:rsid w:val="00025295"/>
    <w:rsid w:val="0002536C"/>
    <w:rsid w:val="000253EE"/>
    <w:rsid w:val="0002550E"/>
    <w:rsid w:val="00025DD6"/>
    <w:rsid w:val="00026084"/>
    <w:rsid w:val="0002634E"/>
    <w:rsid w:val="00026A83"/>
    <w:rsid w:val="00026BB0"/>
    <w:rsid w:val="00026BE6"/>
    <w:rsid w:val="000270C4"/>
    <w:rsid w:val="00027360"/>
    <w:rsid w:val="00027D9A"/>
    <w:rsid w:val="00030568"/>
    <w:rsid w:val="000307F0"/>
    <w:rsid w:val="000308AF"/>
    <w:rsid w:val="0003092F"/>
    <w:rsid w:val="000309D6"/>
    <w:rsid w:val="000312BA"/>
    <w:rsid w:val="000313FA"/>
    <w:rsid w:val="000318AA"/>
    <w:rsid w:val="0003190A"/>
    <w:rsid w:val="00031C83"/>
    <w:rsid w:val="00031DEB"/>
    <w:rsid w:val="0003241A"/>
    <w:rsid w:val="00032824"/>
    <w:rsid w:val="000328F7"/>
    <w:rsid w:val="00032AB5"/>
    <w:rsid w:val="00032D60"/>
    <w:rsid w:val="000332BC"/>
    <w:rsid w:val="00033324"/>
    <w:rsid w:val="0003333B"/>
    <w:rsid w:val="0003339B"/>
    <w:rsid w:val="00033CBA"/>
    <w:rsid w:val="0003581F"/>
    <w:rsid w:val="00035847"/>
    <w:rsid w:val="000358AF"/>
    <w:rsid w:val="0003597D"/>
    <w:rsid w:val="00035B67"/>
    <w:rsid w:val="000367D4"/>
    <w:rsid w:val="00036962"/>
    <w:rsid w:val="00036BC4"/>
    <w:rsid w:val="000371F3"/>
    <w:rsid w:val="00037874"/>
    <w:rsid w:val="00037BE9"/>
    <w:rsid w:val="00040050"/>
    <w:rsid w:val="00040068"/>
    <w:rsid w:val="00040843"/>
    <w:rsid w:val="0004094D"/>
    <w:rsid w:val="00040ABA"/>
    <w:rsid w:val="00040B3E"/>
    <w:rsid w:val="00040E70"/>
    <w:rsid w:val="00041268"/>
    <w:rsid w:val="00041499"/>
    <w:rsid w:val="00041705"/>
    <w:rsid w:val="00041844"/>
    <w:rsid w:val="00041B5A"/>
    <w:rsid w:val="00041FBE"/>
    <w:rsid w:val="00042381"/>
    <w:rsid w:val="0004238F"/>
    <w:rsid w:val="00042480"/>
    <w:rsid w:val="00042522"/>
    <w:rsid w:val="00042795"/>
    <w:rsid w:val="00042BFA"/>
    <w:rsid w:val="00043277"/>
    <w:rsid w:val="0004351E"/>
    <w:rsid w:val="0004363E"/>
    <w:rsid w:val="00043646"/>
    <w:rsid w:val="000439FE"/>
    <w:rsid w:val="00043AFC"/>
    <w:rsid w:val="00043FB5"/>
    <w:rsid w:val="00044051"/>
    <w:rsid w:val="00044129"/>
    <w:rsid w:val="00044239"/>
    <w:rsid w:val="000443F1"/>
    <w:rsid w:val="000444B4"/>
    <w:rsid w:val="000447B4"/>
    <w:rsid w:val="00044914"/>
    <w:rsid w:val="00045242"/>
    <w:rsid w:val="0004590F"/>
    <w:rsid w:val="000459EE"/>
    <w:rsid w:val="00045C5E"/>
    <w:rsid w:val="00045CD0"/>
    <w:rsid w:val="000461B9"/>
    <w:rsid w:val="000463D2"/>
    <w:rsid w:val="00046B2C"/>
    <w:rsid w:val="00046CCD"/>
    <w:rsid w:val="00046E3F"/>
    <w:rsid w:val="00047612"/>
    <w:rsid w:val="00047ADE"/>
    <w:rsid w:val="00047D9F"/>
    <w:rsid w:val="00047E23"/>
    <w:rsid w:val="000500BA"/>
    <w:rsid w:val="000503E1"/>
    <w:rsid w:val="000503ED"/>
    <w:rsid w:val="00050802"/>
    <w:rsid w:val="0005087B"/>
    <w:rsid w:val="00050AA8"/>
    <w:rsid w:val="00050F22"/>
    <w:rsid w:val="00051431"/>
    <w:rsid w:val="000515AA"/>
    <w:rsid w:val="000516E6"/>
    <w:rsid w:val="00051875"/>
    <w:rsid w:val="00051A61"/>
    <w:rsid w:val="00051D82"/>
    <w:rsid w:val="00051D8A"/>
    <w:rsid w:val="00051F57"/>
    <w:rsid w:val="000525E5"/>
    <w:rsid w:val="0005283F"/>
    <w:rsid w:val="0005366B"/>
    <w:rsid w:val="000536AC"/>
    <w:rsid w:val="000538B0"/>
    <w:rsid w:val="00053C00"/>
    <w:rsid w:val="00053D89"/>
    <w:rsid w:val="00053EA4"/>
    <w:rsid w:val="0005413A"/>
    <w:rsid w:val="0005437D"/>
    <w:rsid w:val="000544CA"/>
    <w:rsid w:val="000545AC"/>
    <w:rsid w:val="000547BA"/>
    <w:rsid w:val="00054B2B"/>
    <w:rsid w:val="00054E95"/>
    <w:rsid w:val="0005558E"/>
    <w:rsid w:val="00055B22"/>
    <w:rsid w:val="00055C00"/>
    <w:rsid w:val="00055DBC"/>
    <w:rsid w:val="00056502"/>
    <w:rsid w:val="0005696B"/>
    <w:rsid w:val="00056A2D"/>
    <w:rsid w:val="00056A72"/>
    <w:rsid w:val="000573A8"/>
    <w:rsid w:val="000574E8"/>
    <w:rsid w:val="000575E8"/>
    <w:rsid w:val="0005780F"/>
    <w:rsid w:val="00057A18"/>
    <w:rsid w:val="00057B4F"/>
    <w:rsid w:val="00057F2D"/>
    <w:rsid w:val="00060349"/>
    <w:rsid w:val="000603A8"/>
    <w:rsid w:val="00060619"/>
    <w:rsid w:val="00060635"/>
    <w:rsid w:val="000608DA"/>
    <w:rsid w:val="00060DAE"/>
    <w:rsid w:val="00060DFB"/>
    <w:rsid w:val="00060F9B"/>
    <w:rsid w:val="0006144E"/>
    <w:rsid w:val="000615C8"/>
    <w:rsid w:val="000616AF"/>
    <w:rsid w:val="00061874"/>
    <w:rsid w:val="00061988"/>
    <w:rsid w:val="00061A6B"/>
    <w:rsid w:val="0006204B"/>
    <w:rsid w:val="00062061"/>
    <w:rsid w:val="0006219F"/>
    <w:rsid w:val="000622E3"/>
    <w:rsid w:val="00062F77"/>
    <w:rsid w:val="00063305"/>
    <w:rsid w:val="000634EB"/>
    <w:rsid w:val="0006358F"/>
    <w:rsid w:val="0006365A"/>
    <w:rsid w:val="0006391C"/>
    <w:rsid w:val="00063BC8"/>
    <w:rsid w:val="00063F36"/>
    <w:rsid w:val="00064074"/>
    <w:rsid w:val="00064182"/>
    <w:rsid w:val="0006428F"/>
    <w:rsid w:val="000644F4"/>
    <w:rsid w:val="000648C9"/>
    <w:rsid w:val="00064EA2"/>
    <w:rsid w:val="00064ECA"/>
    <w:rsid w:val="00064FE4"/>
    <w:rsid w:val="0006522D"/>
    <w:rsid w:val="0006527E"/>
    <w:rsid w:val="000652BA"/>
    <w:rsid w:val="00065753"/>
    <w:rsid w:val="00065914"/>
    <w:rsid w:val="00065A67"/>
    <w:rsid w:val="00065D6F"/>
    <w:rsid w:val="00065DC0"/>
    <w:rsid w:val="00066354"/>
    <w:rsid w:val="00066635"/>
    <w:rsid w:val="00066641"/>
    <w:rsid w:val="00066B31"/>
    <w:rsid w:val="00066DAD"/>
    <w:rsid w:val="00066EA0"/>
    <w:rsid w:val="00067021"/>
    <w:rsid w:val="0006728D"/>
    <w:rsid w:val="00067395"/>
    <w:rsid w:val="00067440"/>
    <w:rsid w:val="00067B1C"/>
    <w:rsid w:val="00067C05"/>
    <w:rsid w:val="00067C21"/>
    <w:rsid w:val="00070274"/>
    <w:rsid w:val="00070410"/>
    <w:rsid w:val="000705E8"/>
    <w:rsid w:val="000707B5"/>
    <w:rsid w:val="000708C9"/>
    <w:rsid w:val="00070940"/>
    <w:rsid w:val="00070A07"/>
    <w:rsid w:val="00070DAF"/>
    <w:rsid w:val="00071069"/>
    <w:rsid w:val="000712FE"/>
    <w:rsid w:val="0007130A"/>
    <w:rsid w:val="00071E8C"/>
    <w:rsid w:val="00072101"/>
    <w:rsid w:val="000723DA"/>
    <w:rsid w:val="0007282E"/>
    <w:rsid w:val="00072B26"/>
    <w:rsid w:val="00072BD8"/>
    <w:rsid w:val="00072E3F"/>
    <w:rsid w:val="00073694"/>
    <w:rsid w:val="00073AF8"/>
    <w:rsid w:val="00073D7D"/>
    <w:rsid w:val="00074161"/>
    <w:rsid w:val="00074541"/>
    <w:rsid w:val="000745DD"/>
    <w:rsid w:val="00074896"/>
    <w:rsid w:val="000749C8"/>
    <w:rsid w:val="00074A42"/>
    <w:rsid w:val="00074B18"/>
    <w:rsid w:val="00074E24"/>
    <w:rsid w:val="00075418"/>
    <w:rsid w:val="00075529"/>
    <w:rsid w:val="000755F5"/>
    <w:rsid w:val="0007575B"/>
    <w:rsid w:val="000757D4"/>
    <w:rsid w:val="00075812"/>
    <w:rsid w:val="000758A1"/>
    <w:rsid w:val="000759A9"/>
    <w:rsid w:val="000764AB"/>
    <w:rsid w:val="000765DF"/>
    <w:rsid w:val="0007667C"/>
    <w:rsid w:val="00076837"/>
    <w:rsid w:val="00076AB0"/>
    <w:rsid w:val="00076CB9"/>
    <w:rsid w:val="00076E31"/>
    <w:rsid w:val="00076F29"/>
    <w:rsid w:val="000770F5"/>
    <w:rsid w:val="00077140"/>
    <w:rsid w:val="00077262"/>
    <w:rsid w:val="00077296"/>
    <w:rsid w:val="00077417"/>
    <w:rsid w:val="00077665"/>
    <w:rsid w:val="00077B46"/>
    <w:rsid w:val="00077E49"/>
    <w:rsid w:val="00077FB6"/>
    <w:rsid w:val="000801E0"/>
    <w:rsid w:val="00080719"/>
    <w:rsid w:val="00080A5E"/>
    <w:rsid w:val="00081202"/>
    <w:rsid w:val="000816B1"/>
    <w:rsid w:val="000826F3"/>
    <w:rsid w:val="000827D4"/>
    <w:rsid w:val="000828FA"/>
    <w:rsid w:val="00082A3F"/>
    <w:rsid w:val="00082C74"/>
    <w:rsid w:val="000833EA"/>
    <w:rsid w:val="00083418"/>
    <w:rsid w:val="0008397B"/>
    <w:rsid w:val="00083F05"/>
    <w:rsid w:val="00084287"/>
    <w:rsid w:val="00084B86"/>
    <w:rsid w:val="00084E3B"/>
    <w:rsid w:val="00085781"/>
    <w:rsid w:val="000857B4"/>
    <w:rsid w:val="000859E5"/>
    <w:rsid w:val="00085E07"/>
    <w:rsid w:val="00086056"/>
    <w:rsid w:val="0008605E"/>
    <w:rsid w:val="0008613D"/>
    <w:rsid w:val="000862FD"/>
    <w:rsid w:val="0008636D"/>
    <w:rsid w:val="000863FA"/>
    <w:rsid w:val="000864A4"/>
    <w:rsid w:val="00086701"/>
    <w:rsid w:val="00086827"/>
    <w:rsid w:val="00086F65"/>
    <w:rsid w:val="000879D3"/>
    <w:rsid w:val="00087B1F"/>
    <w:rsid w:val="00087FCF"/>
    <w:rsid w:val="00091183"/>
    <w:rsid w:val="000916EE"/>
    <w:rsid w:val="00091DFB"/>
    <w:rsid w:val="000926B9"/>
    <w:rsid w:val="000927FC"/>
    <w:rsid w:val="00092CCF"/>
    <w:rsid w:val="00092F99"/>
    <w:rsid w:val="000932AA"/>
    <w:rsid w:val="000932C6"/>
    <w:rsid w:val="0009382B"/>
    <w:rsid w:val="00093A35"/>
    <w:rsid w:val="00093F8E"/>
    <w:rsid w:val="00094034"/>
    <w:rsid w:val="000944D9"/>
    <w:rsid w:val="00094608"/>
    <w:rsid w:val="000948F7"/>
    <w:rsid w:val="00094A59"/>
    <w:rsid w:val="000951DF"/>
    <w:rsid w:val="00095332"/>
    <w:rsid w:val="000957DD"/>
    <w:rsid w:val="00095AAF"/>
    <w:rsid w:val="00095B50"/>
    <w:rsid w:val="00095D99"/>
    <w:rsid w:val="000961F8"/>
    <w:rsid w:val="0009627E"/>
    <w:rsid w:val="00096709"/>
    <w:rsid w:val="00096825"/>
    <w:rsid w:val="00096EC7"/>
    <w:rsid w:val="00097001"/>
    <w:rsid w:val="0009793D"/>
    <w:rsid w:val="00097A70"/>
    <w:rsid w:val="00097F02"/>
    <w:rsid w:val="00097F7D"/>
    <w:rsid w:val="000A0971"/>
    <w:rsid w:val="000A09C7"/>
    <w:rsid w:val="000A0C09"/>
    <w:rsid w:val="000A0DA7"/>
    <w:rsid w:val="000A0E1E"/>
    <w:rsid w:val="000A0FF4"/>
    <w:rsid w:val="000A132A"/>
    <w:rsid w:val="000A1628"/>
    <w:rsid w:val="000A1722"/>
    <w:rsid w:val="000A1852"/>
    <w:rsid w:val="000A18B7"/>
    <w:rsid w:val="000A1A0A"/>
    <w:rsid w:val="000A1AE2"/>
    <w:rsid w:val="000A1B73"/>
    <w:rsid w:val="000A2063"/>
    <w:rsid w:val="000A2567"/>
    <w:rsid w:val="000A25BB"/>
    <w:rsid w:val="000A28A2"/>
    <w:rsid w:val="000A2960"/>
    <w:rsid w:val="000A2AE6"/>
    <w:rsid w:val="000A30A1"/>
    <w:rsid w:val="000A3215"/>
    <w:rsid w:val="000A32D5"/>
    <w:rsid w:val="000A330D"/>
    <w:rsid w:val="000A3A31"/>
    <w:rsid w:val="000A3C54"/>
    <w:rsid w:val="000A403E"/>
    <w:rsid w:val="000A4317"/>
    <w:rsid w:val="000A457E"/>
    <w:rsid w:val="000A4792"/>
    <w:rsid w:val="000A4BBE"/>
    <w:rsid w:val="000A4E14"/>
    <w:rsid w:val="000A5012"/>
    <w:rsid w:val="000A5177"/>
    <w:rsid w:val="000A54A0"/>
    <w:rsid w:val="000A562D"/>
    <w:rsid w:val="000A58E1"/>
    <w:rsid w:val="000A5E34"/>
    <w:rsid w:val="000A5F6C"/>
    <w:rsid w:val="000A64D0"/>
    <w:rsid w:val="000A64E8"/>
    <w:rsid w:val="000A69E9"/>
    <w:rsid w:val="000A6D2D"/>
    <w:rsid w:val="000A6E34"/>
    <w:rsid w:val="000A7427"/>
    <w:rsid w:val="000A7A7E"/>
    <w:rsid w:val="000A7EFF"/>
    <w:rsid w:val="000B019D"/>
    <w:rsid w:val="000B0218"/>
    <w:rsid w:val="000B04A4"/>
    <w:rsid w:val="000B072C"/>
    <w:rsid w:val="000B0C49"/>
    <w:rsid w:val="000B0CD4"/>
    <w:rsid w:val="000B0DFE"/>
    <w:rsid w:val="000B126A"/>
    <w:rsid w:val="000B17C6"/>
    <w:rsid w:val="000B1C95"/>
    <w:rsid w:val="000B1FA8"/>
    <w:rsid w:val="000B206A"/>
    <w:rsid w:val="000B24C4"/>
    <w:rsid w:val="000B2580"/>
    <w:rsid w:val="000B27C3"/>
    <w:rsid w:val="000B2981"/>
    <w:rsid w:val="000B2AC5"/>
    <w:rsid w:val="000B2F6A"/>
    <w:rsid w:val="000B3280"/>
    <w:rsid w:val="000B386C"/>
    <w:rsid w:val="000B3A1D"/>
    <w:rsid w:val="000B3B67"/>
    <w:rsid w:val="000B47C9"/>
    <w:rsid w:val="000B489D"/>
    <w:rsid w:val="000B491A"/>
    <w:rsid w:val="000B4BA6"/>
    <w:rsid w:val="000B4C39"/>
    <w:rsid w:val="000B4C77"/>
    <w:rsid w:val="000B50F1"/>
    <w:rsid w:val="000B568B"/>
    <w:rsid w:val="000B56BC"/>
    <w:rsid w:val="000B64DF"/>
    <w:rsid w:val="000B672F"/>
    <w:rsid w:val="000B6958"/>
    <w:rsid w:val="000B6B61"/>
    <w:rsid w:val="000B6CCC"/>
    <w:rsid w:val="000B6E08"/>
    <w:rsid w:val="000B7184"/>
    <w:rsid w:val="000B7303"/>
    <w:rsid w:val="000B763D"/>
    <w:rsid w:val="000B7AB4"/>
    <w:rsid w:val="000B7D0F"/>
    <w:rsid w:val="000B7D36"/>
    <w:rsid w:val="000C0014"/>
    <w:rsid w:val="000C0093"/>
    <w:rsid w:val="000C00B2"/>
    <w:rsid w:val="000C05CD"/>
    <w:rsid w:val="000C05CE"/>
    <w:rsid w:val="000C07A9"/>
    <w:rsid w:val="000C0F09"/>
    <w:rsid w:val="000C145E"/>
    <w:rsid w:val="000C1DBB"/>
    <w:rsid w:val="000C1F8A"/>
    <w:rsid w:val="000C1FD0"/>
    <w:rsid w:val="000C2081"/>
    <w:rsid w:val="000C217D"/>
    <w:rsid w:val="000C22A9"/>
    <w:rsid w:val="000C28E1"/>
    <w:rsid w:val="000C3226"/>
    <w:rsid w:val="000C358F"/>
    <w:rsid w:val="000C37D6"/>
    <w:rsid w:val="000C39FE"/>
    <w:rsid w:val="000C3C63"/>
    <w:rsid w:val="000C3E13"/>
    <w:rsid w:val="000C4166"/>
    <w:rsid w:val="000C46C5"/>
    <w:rsid w:val="000C4B33"/>
    <w:rsid w:val="000C4EE1"/>
    <w:rsid w:val="000C50E3"/>
    <w:rsid w:val="000C530A"/>
    <w:rsid w:val="000C5394"/>
    <w:rsid w:val="000C53D0"/>
    <w:rsid w:val="000C5C0F"/>
    <w:rsid w:val="000C5C3E"/>
    <w:rsid w:val="000C5DE5"/>
    <w:rsid w:val="000C5FB5"/>
    <w:rsid w:val="000C6E46"/>
    <w:rsid w:val="000C6E9A"/>
    <w:rsid w:val="000C7821"/>
    <w:rsid w:val="000C7852"/>
    <w:rsid w:val="000C78CF"/>
    <w:rsid w:val="000C7C35"/>
    <w:rsid w:val="000D0199"/>
    <w:rsid w:val="000D04D2"/>
    <w:rsid w:val="000D095C"/>
    <w:rsid w:val="000D11DA"/>
    <w:rsid w:val="000D12B1"/>
    <w:rsid w:val="000D1354"/>
    <w:rsid w:val="000D17AA"/>
    <w:rsid w:val="000D17C7"/>
    <w:rsid w:val="000D1D4B"/>
    <w:rsid w:val="000D23E6"/>
    <w:rsid w:val="000D240E"/>
    <w:rsid w:val="000D2591"/>
    <w:rsid w:val="000D2B9B"/>
    <w:rsid w:val="000D2F21"/>
    <w:rsid w:val="000D369C"/>
    <w:rsid w:val="000D36C3"/>
    <w:rsid w:val="000D3A5B"/>
    <w:rsid w:val="000D3B1A"/>
    <w:rsid w:val="000D3BB3"/>
    <w:rsid w:val="000D3D94"/>
    <w:rsid w:val="000D4469"/>
    <w:rsid w:val="000D44FF"/>
    <w:rsid w:val="000D4886"/>
    <w:rsid w:val="000D4B87"/>
    <w:rsid w:val="000D4C2D"/>
    <w:rsid w:val="000D4FB9"/>
    <w:rsid w:val="000D50E1"/>
    <w:rsid w:val="000D5C0E"/>
    <w:rsid w:val="000D6367"/>
    <w:rsid w:val="000D657C"/>
    <w:rsid w:val="000D705F"/>
    <w:rsid w:val="000D7551"/>
    <w:rsid w:val="000D7B81"/>
    <w:rsid w:val="000E07E2"/>
    <w:rsid w:val="000E1128"/>
    <w:rsid w:val="000E1188"/>
    <w:rsid w:val="000E14BD"/>
    <w:rsid w:val="000E14CD"/>
    <w:rsid w:val="000E2827"/>
    <w:rsid w:val="000E2B30"/>
    <w:rsid w:val="000E2C21"/>
    <w:rsid w:val="000E301B"/>
    <w:rsid w:val="000E324E"/>
    <w:rsid w:val="000E3A1A"/>
    <w:rsid w:val="000E3C25"/>
    <w:rsid w:val="000E3C7D"/>
    <w:rsid w:val="000E3F0C"/>
    <w:rsid w:val="000E4466"/>
    <w:rsid w:val="000E45BC"/>
    <w:rsid w:val="000E4C1B"/>
    <w:rsid w:val="000E4C78"/>
    <w:rsid w:val="000E4DC1"/>
    <w:rsid w:val="000E4E78"/>
    <w:rsid w:val="000E50E3"/>
    <w:rsid w:val="000E51AF"/>
    <w:rsid w:val="000E5259"/>
    <w:rsid w:val="000E55E7"/>
    <w:rsid w:val="000E58D7"/>
    <w:rsid w:val="000E5A0D"/>
    <w:rsid w:val="000E5D8F"/>
    <w:rsid w:val="000E60D2"/>
    <w:rsid w:val="000E638A"/>
    <w:rsid w:val="000E65E8"/>
    <w:rsid w:val="000E69AC"/>
    <w:rsid w:val="000E6C0A"/>
    <w:rsid w:val="000E6E47"/>
    <w:rsid w:val="000E7894"/>
    <w:rsid w:val="000E7AF5"/>
    <w:rsid w:val="000F0282"/>
    <w:rsid w:val="000F0361"/>
    <w:rsid w:val="000F0451"/>
    <w:rsid w:val="000F064A"/>
    <w:rsid w:val="000F0664"/>
    <w:rsid w:val="000F0716"/>
    <w:rsid w:val="000F08D6"/>
    <w:rsid w:val="000F182D"/>
    <w:rsid w:val="000F1B9D"/>
    <w:rsid w:val="000F1D04"/>
    <w:rsid w:val="000F21BD"/>
    <w:rsid w:val="000F2568"/>
    <w:rsid w:val="000F2798"/>
    <w:rsid w:val="000F29A1"/>
    <w:rsid w:val="000F2AFC"/>
    <w:rsid w:val="000F2D63"/>
    <w:rsid w:val="000F3150"/>
    <w:rsid w:val="000F3170"/>
    <w:rsid w:val="000F3434"/>
    <w:rsid w:val="000F3460"/>
    <w:rsid w:val="000F363A"/>
    <w:rsid w:val="000F393B"/>
    <w:rsid w:val="000F3AB0"/>
    <w:rsid w:val="000F3C2E"/>
    <w:rsid w:val="000F3E53"/>
    <w:rsid w:val="000F3EEF"/>
    <w:rsid w:val="000F41B2"/>
    <w:rsid w:val="000F49C8"/>
    <w:rsid w:val="000F4A93"/>
    <w:rsid w:val="000F4AC8"/>
    <w:rsid w:val="000F556F"/>
    <w:rsid w:val="000F564C"/>
    <w:rsid w:val="000F5AC0"/>
    <w:rsid w:val="000F5B43"/>
    <w:rsid w:val="000F5D04"/>
    <w:rsid w:val="000F5E86"/>
    <w:rsid w:val="000F63ED"/>
    <w:rsid w:val="000F649A"/>
    <w:rsid w:val="000F6591"/>
    <w:rsid w:val="000F6596"/>
    <w:rsid w:val="000F681D"/>
    <w:rsid w:val="000F6C76"/>
    <w:rsid w:val="000F6D0A"/>
    <w:rsid w:val="000F6D77"/>
    <w:rsid w:val="000F71BC"/>
    <w:rsid w:val="000F754D"/>
    <w:rsid w:val="000F7570"/>
    <w:rsid w:val="000F7B10"/>
    <w:rsid w:val="000F7F09"/>
    <w:rsid w:val="0010009C"/>
    <w:rsid w:val="001000BB"/>
    <w:rsid w:val="001003A1"/>
    <w:rsid w:val="00100415"/>
    <w:rsid w:val="0010069B"/>
    <w:rsid w:val="00100D19"/>
    <w:rsid w:val="001013A5"/>
    <w:rsid w:val="00101A2E"/>
    <w:rsid w:val="00101A87"/>
    <w:rsid w:val="00101C3A"/>
    <w:rsid w:val="00101DE8"/>
    <w:rsid w:val="00102405"/>
    <w:rsid w:val="00102491"/>
    <w:rsid w:val="0010293F"/>
    <w:rsid w:val="00102B87"/>
    <w:rsid w:val="00102E7C"/>
    <w:rsid w:val="001035AB"/>
    <w:rsid w:val="0010371C"/>
    <w:rsid w:val="001039C5"/>
    <w:rsid w:val="0010421C"/>
    <w:rsid w:val="00104315"/>
    <w:rsid w:val="001045A7"/>
    <w:rsid w:val="0010465D"/>
    <w:rsid w:val="0010469C"/>
    <w:rsid w:val="00104807"/>
    <w:rsid w:val="00104CFE"/>
    <w:rsid w:val="00104F1C"/>
    <w:rsid w:val="00105042"/>
    <w:rsid w:val="00105190"/>
    <w:rsid w:val="00105267"/>
    <w:rsid w:val="0010561A"/>
    <w:rsid w:val="001056DA"/>
    <w:rsid w:val="00105ED6"/>
    <w:rsid w:val="00106074"/>
    <w:rsid w:val="00106287"/>
    <w:rsid w:val="001066E1"/>
    <w:rsid w:val="00106BDC"/>
    <w:rsid w:val="0010714E"/>
    <w:rsid w:val="00107C95"/>
    <w:rsid w:val="001103BA"/>
    <w:rsid w:val="001104E0"/>
    <w:rsid w:val="0011056D"/>
    <w:rsid w:val="0011062D"/>
    <w:rsid w:val="001107EA"/>
    <w:rsid w:val="0011085D"/>
    <w:rsid w:val="00110C61"/>
    <w:rsid w:val="00110CD6"/>
    <w:rsid w:val="00110E4F"/>
    <w:rsid w:val="00110F3E"/>
    <w:rsid w:val="00111084"/>
    <w:rsid w:val="0011139E"/>
    <w:rsid w:val="001117B5"/>
    <w:rsid w:val="00111991"/>
    <w:rsid w:val="00111A7C"/>
    <w:rsid w:val="00111DBE"/>
    <w:rsid w:val="001122BF"/>
    <w:rsid w:val="00112659"/>
    <w:rsid w:val="001126A9"/>
    <w:rsid w:val="00112DD7"/>
    <w:rsid w:val="00112E30"/>
    <w:rsid w:val="00112F68"/>
    <w:rsid w:val="00113100"/>
    <w:rsid w:val="001137CF"/>
    <w:rsid w:val="001138AC"/>
    <w:rsid w:val="00113F83"/>
    <w:rsid w:val="00113F8C"/>
    <w:rsid w:val="00114238"/>
    <w:rsid w:val="0011424B"/>
    <w:rsid w:val="001143D8"/>
    <w:rsid w:val="001145F2"/>
    <w:rsid w:val="0011461D"/>
    <w:rsid w:val="00114B85"/>
    <w:rsid w:val="00115242"/>
    <w:rsid w:val="00115A8A"/>
    <w:rsid w:val="00116069"/>
    <w:rsid w:val="001164DB"/>
    <w:rsid w:val="00116644"/>
    <w:rsid w:val="00116758"/>
    <w:rsid w:val="001169DB"/>
    <w:rsid w:val="00116E3E"/>
    <w:rsid w:val="00117003"/>
    <w:rsid w:val="001172B5"/>
    <w:rsid w:val="001174A3"/>
    <w:rsid w:val="00117B0E"/>
    <w:rsid w:val="00117B8C"/>
    <w:rsid w:val="00117C21"/>
    <w:rsid w:val="00117CA0"/>
    <w:rsid w:val="00117E9C"/>
    <w:rsid w:val="00117EF6"/>
    <w:rsid w:val="00117F20"/>
    <w:rsid w:val="0012081A"/>
    <w:rsid w:val="00120831"/>
    <w:rsid w:val="00120F7F"/>
    <w:rsid w:val="001214EA"/>
    <w:rsid w:val="00121B2E"/>
    <w:rsid w:val="0012208A"/>
    <w:rsid w:val="00122839"/>
    <w:rsid w:val="00122B7E"/>
    <w:rsid w:val="00122E49"/>
    <w:rsid w:val="00122F33"/>
    <w:rsid w:val="00123186"/>
    <w:rsid w:val="001231DF"/>
    <w:rsid w:val="00123368"/>
    <w:rsid w:val="00123956"/>
    <w:rsid w:val="00123B6A"/>
    <w:rsid w:val="00123CEF"/>
    <w:rsid w:val="00123DB2"/>
    <w:rsid w:val="0012427C"/>
    <w:rsid w:val="00124785"/>
    <w:rsid w:val="00124BEA"/>
    <w:rsid w:val="00124C01"/>
    <w:rsid w:val="00125532"/>
    <w:rsid w:val="001256CA"/>
    <w:rsid w:val="00125D78"/>
    <w:rsid w:val="00126304"/>
    <w:rsid w:val="0012652B"/>
    <w:rsid w:val="0012673A"/>
    <w:rsid w:val="00126DF7"/>
    <w:rsid w:val="0012707A"/>
    <w:rsid w:val="001270A1"/>
    <w:rsid w:val="00127512"/>
    <w:rsid w:val="0012773B"/>
    <w:rsid w:val="001277E7"/>
    <w:rsid w:val="00127A51"/>
    <w:rsid w:val="00127FDE"/>
    <w:rsid w:val="0013004D"/>
    <w:rsid w:val="00130A35"/>
    <w:rsid w:val="00130BE1"/>
    <w:rsid w:val="00130EE5"/>
    <w:rsid w:val="00131113"/>
    <w:rsid w:val="00131896"/>
    <w:rsid w:val="0013199C"/>
    <w:rsid w:val="00131C18"/>
    <w:rsid w:val="00131E82"/>
    <w:rsid w:val="00131F6D"/>
    <w:rsid w:val="00132903"/>
    <w:rsid w:val="00132CA6"/>
    <w:rsid w:val="00132E4A"/>
    <w:rsid w:val="0013304E"/>
    <w:rsid w:val="00133109"/>
    <w:rsid w:val="0013312F"/>
    <w:rsid w:val="0013369E"/>
    <w:rsid w:val="00133E3B"/>
    <w:rsid w:val="00133FE0"/>
    <w:rsid w:val="0013438C"/>
    <w:rsid w:val="0013458B"/>
    <w:rsid w:val="001346FA"/>
    <w:rsid w:val="00134A6D"/>
    <w:rsid w:val="00134B94"/>
    <w:rsid w:val="00134FAE"/>
    <w:rsid w:val="00135A85"/>
    <w:rsid w:val="00135BCD"/>
    <w:rsid w:val="00135F0C"/>
    <w:rsid w:val="00135FBF"/>
    <w:rsid w:val="0013638F"/>
    <w:rsid w:val="00136A72"/>
    <w:rsid w:val="0013746D"/>
    <w:rsid w:val="00137A21"/>
    <w:rsid w:val="00137E13"/>
    <w:rsid w:val="00137E91"/>
    <w:rsid w:val="00140182"/>
    <w:rsid w:val="001405E3"/>
    <w:rsid w:val="00140686"/>
    <w:rsid w:val="0014082D"/>
    <w:rsid w:val="00140D71"/>
    <w:rsid w:val="001410B9"/>
    <w:rsid w:val="001410CF"/>
    <w:rsid w:val="0014116A"/>
    <w:rsid w:val="001411AA"/>
    <w:rsid w:val="001411DD"/>
    <w:rsid w:val="0014139F"/>
    <w:rsid w:val="001414C1"/>
    <w:rsid w:val="001417BD"/>
    <w:rsid w:val="00141810"/>
    <w:rsid w:val="00141A44"/>
    <w:rsid w:val="00141ACB"/>
    <w:rsid w:val="00141D74"/>
    <w:rsid w:val="00141F92"/>
    <w:rsid w:val="00142088"/>
    <w:rsid w:val="00142404"/>
    <w:rsid w:val="001424E2"/>
    <w:rsid w:val="001426C0"/>
    <w:rsid w:val="00142C77"/>
    <w:rsid w:val="00142E7F"/>
    <w:rsid w:val="00143047"/>
    <w:rsid w:val="0014342B"/>
    <w:rsid w:val="00143436"/>
    <w:rsid w:val="0014361F"/>
    <w:rsid w:val="00143869"/>
    <w:rsid w:val="0014406E"/>
    <w:rsid w:val="001440FC"/>
    <w:rsid w:val="0014418B"/>
    <w:rsid w:val="0014430A"/>
    <w:rsid w:val="0014475D"/>
    <w:rsid w:val="00144784"/>
    <w:rsid w:val="00144A8B"/>
    <w:rsid w:val="00144CAC"/>
    <w:rsid w:val="00145336"/>
    <w:rsid w:val="00145676"/>
    <w:rsid w:val="001457DB"/>
    <w:rsid w:val="001459F4"/>
    <w:rsid w:val="00145CE4"/>
    <w:rsid w:val="00145D10"/>
    <w:rsid w:val="00145ED6"/>
    <w:rsid w:val="00145F24"/>
    <w:rsid w:val="00146113"/>
    <w:rsid w:val="001461BB"/>
    <w:rsid w:val="00146EAA"/>
    <w:rsid w:val="00146F26"/>
    <w:rsid w:val="00147034"/>
    <w:rsid w:val="001470A3"/>
    <w:rsid w:val="00147367"/>
    <w:rsid w:val="001473DE"/>
    <w:rsid w:val="001473F3"/>
    <w:rsid w:val="00150082"/>
    <w:rsid w:val="0015026A"/>
    <w:rsid w:val="00150A53"/>
    <w:rsid w:val="00150E2B"/>
    <w:rsid w:val="00151035"/>
    <w:rsid w:val="0015123F"/>
    <w:rsid w:val="00151379"/>
    <w:rsid w:val="001514C7"/>
    <w:rsid w:val="0015161A"/>
    <w:rsid w:val="0015203E"/>
    <w:rsid w:val="00152464"/>
    <w:rsid w:val="00152504"/>
    <w:rsid w:val="001525FF"/>
    <w:rsid w:val="0015273B"/>
    <w:rsid w:val="00152759"/>
    <w:rsid w:val="0015275F"/>
    <w:rsid w:val="00152814"/>
    <w:rsid w:val="0015286E"/>
    <w:rsid w:val="001529D9"/>
    <w:rsid w:val="00152E52"/>
    <w:rsid w:val="001534E6"/>
    <w:rsid w:val="00153748"/>
    <w:rsid w:val="00153827"/>
    <w:rsid w:val="001538E4"/>
    <w:rsid w:val="00153D52"/>
    <w:rsid w:val="001544EF"/>
    <w:rsid w:val="001547DD"/>
    <w:rsid w:val="0015492A"/>
    <w:rsid w:val="00154D26"/>
    <w:rsid w:val="00154F15"/>
    <w:rsid w:val="00155079"/>
    <w:rsid w:val="001550B5"/>
    <w:rsid w:val="001556A3"/>
    <w:rsid w:val="00155FA8"/>
    <w:rsid w:val="00156099"/>
    <w:rsid w:val="00156230"/>
    <w:rsid w:val="00156769"/>
    <w:rsid w:val="001568E9"/>
    <w:rsid w:val="00156C72"/>
    <w:rsid w:val="00156F52"/>
    <w:rsid w:val="0015733B"/>
    <w:rsid w:val="0015774C"/>
    <w:rsid w:val="00157830"/>
    <w:rsid w:val="00157888"/>
    <w:rsid w:val="00157AD6"/>
    <w:rsid w:val="00157C33"/>
    <w:rsid w:val="0016004B"/>
    <w:rsid w:val="0016017F"/>
    <w:rsid w:val="0016062D"/>
    <w:rsid w:val="00160932"/>
    <w:rsid w:val="00160AE7"/>
    <w:rsid w:val="00160B4B"/>
    <w:rsid w:val="00160F1F"/>
    <w:rsid w:val="00161099"/>
    <w:rsid w:val="001613DA"/>
    <w:rsid w:val="001615F9"/>
    <w:rsid w:val="001616B3"/>
    <w:rsid w:val="001617BD"/>
    <w:rsid w:val="001617D1"/>
    <w:rsid w:val="00161F51"/>
    <w:rsid w:val="00161F9D"/>
    <w:rsid w:val="001623D4"/>
    <w:rsid w:val="00162517"/>
    <w:rsid w:val="0016290B"/>
    <w:rsid w:val="00162B48"/>
    <w:rsid w:val="00163141"/>
    <w:rsid w:val="0016342B"/>
    <w:rsid w:val="0016361E"/>
    <w:rsid w:val="00163A9E"/>
    <w:rsid w:val="00163AB4"/>
    <w:rsid w:val="0016401C"/>
    <w:rsid w:val="001640F0"/>
    <w:rsid w:val="0016468C"/>
    <w:rsid w:val="001648F3"/>
    <w:rsid w:val="00164A63"/>
    <w:rsid w:val="00164C3F"/>
    <w:rsid w:val="00164DD0"/>
    <w:rsid w:val="00164E4D"/>
    <w:rsid w:val="00164F1C"/>
    <w:rsid w:val="001652F8"/>
    <w:rsid w:val="0016547B"/>
    <w:rsid w:val="001655F3"/>
    <w:rsid w:val="0016578E"/>
    <w:rsid w:val="00165AA2"/>
    <w:rsid w:val="00165C0C"/>
    <w:rsid w:val="001660A8"/>
    <w:rsid w:val="001664FF"/>
    <w:rsid w:val="001667C9"/>
    <w:rsid w:val="001667D1"/>
    <w:rsid w:val="00166E47"/>
    <w:rsid w:val="001674A7"/>
    <w:rsid w:val="001678F7"/>
    <w:rsid w:val="00167962"/>
    <w:rsid w:val="00167B18"/>
    <w:rsid w:val="00167C77"/>
    <w:rsid w:val="00167CD0"/>
    <w:rsid w:val="00167DAF"/>
    <w:rsid w:val="00167FB7"/>
    <w:rsid w:val="00167FC6"/>
    <w:rsid w:val="001704A5"/>
    <w:rsid w:val="00170572"/>
    <w:rsid w:val="001705D1"/>
    <w:rsid w:val="001705E9"/>
    <w:rsid w:val="00170CE9"/>
    <w:rsid w:val="00170E9D"/>
    <w:rsid w:val="00170F3F"/>
    <w:rsid w:val="00171128"/>
    <w:rsid w:val="00172298"/>
    <w:rsid w:val="0017256E"/>
    <w:rsid w:val="00172A95"/>
    <w:rsid w:val="0017303F"/>
    <w:rsid w:val="00173386"/>
    <w:rsid w:val="00173576"/>
    <w:rsid w:val="00173650"/>
    <w:rsid w:val="00173886"/>
    <w:rsid w:val="0017388D"/>
    <w:rsid w:val="001739C3"/>
    <w:rsid w:val="00174466"/>
    <w:rsid w:val="00174931"/>
    <w:rsid w:val="00174E8C"/>
    <w:rsid w:val="0017525B"/>
    <w:rsid w:val="001753B8"/>
    <w:rsid w:val="00175595"/>
    <w:rsid w:val="001756C5"/>
    <w:rsid w:val="001756E0"/>
    <w:rsid w:val="00175B11"/>
    <w:rsid w:val="00176043"/>
    <w:rsid w:val="00176C35"/>
    <w:rsid w:val="0017746F"/>
    <w:rsid w:val="001774B9"/>
    <w:rsid w:val="00177677"/>
    <w:rsid w:val="001776AA"/>
    <w:rsid w:val="00177702"/>
    <w:rsid w:val="001778D6"/>
    <w:rsid w:val="00177AC8"/>
    <w:rsid w:val="00177D8C"/>
    <w:rsid w:val="00177F8A"/>
    <w:rsid w:val="0018008A"/>
    <w:rsid w:val="001806AF"/>
    <w:rsid w:val="001813CD"/>
    <w:rsid w:val="0018176C"/>
    <w:rsid w:val="0018179E"/>
    <w:rsid w:val="00181F63"/>
    <w:rsid w:val="00182415"/>
    <w:rsid w:val="00182725"/>
    <w:rsid w:val="001830FE"/>
    <w:rsid w:val="00183145"/>
    <w:rsid w:val="001832A7"/>
    <w:rsid w:val="00183475"/>
    <w:rsid w:val="001836D7"/>
    <w:rsid w:val="001836FF"/>
    <w:rsid w:val="001837DC"/>
    <w:rsid w:val="00183AF8"/>
    <w:rsid w:val="00183DB6"/>
    <w:rsid w:val="00184458"/>
    <w:rsid w:val="00185598"/>
    <w:rsid w:val="001855EF"/>
    <w:rsid w:val="00185986"/>
    <w:rsid w:val="00185FDB"/>
    <w:rsid w:val="0018676F"/>
    <w:rsid w:val="00186A3D"/>
    <w:rsid w:val="00186AFF"/>
    <w:rsid w:val="00186C6C"/>
    <w:rsid w:val="00186DDA"/>
    <w:rsid w:val="00187182"/>
    <w:rsid w:val="0018718C"/>
    <w:rsid w:val="0018726D"/>
    <w:rsid w:val="0018732E"/>
    <w:rsid w:val="001874B3"/>
    <w:rsid w:val="00187C6D"/>
    <w:rsid w:val="001903E1"/>
    <w:rsid w:val="0019049B"/>
    <w:rsid w:val="0019050E"/>
    <w:rsid w:val="001908B9"/>
    <w:rsid w:val="00190B51"/>
    <w:rsid w:val="00190D84"/>
    <w:rsid w:val="00191134"/>
    <w:rsid w:val="00191505"/>
    <w:rsid w:val="00191855"/>
    <w:rsid w:val="00191E03"/>
    <w:rsid w:val="00191E70"/>
    <w:rsid w:val="00191F89"/>
    <w:rsid w:val="00192695"/>
    <w:rsid w:val="00192D23"/>
    <w:rsid w:val="00192D62"/>
    <w:rsid w:val="00193648"/>
    <w:rsid w:val="00193A82"/>
    <w:rsid w:val="00193B26"/>
    <w:rsid w:val="00193B64"/>
    <w:rsid w:val="00193D2F"/>
    <w:rsid w:val="001940BB"/>
    <w:rsid w:val="0019421C"/>
    <w:rsid w:val="00194274"/>
    <w:rsid w:val="00194866"/>
    <w:rsid w:val="00194994"/>
    <w:rsid w:val="00194D69"/>
    <w:rsid w:val="00194DEF"/>
    <w:rsid w:val="00195019"/>
    <w:rsid w:val="00195631"/>
    <w:rsid w:val="00195770"/>
    <w:rsid w:val="00195D4F"/>
    <w:rsid w:val="00195F33"/>
    <w:rsid w:val="001961C3"/>
    <w:rsid w:val="0019630F"/>
    <w:rsid w:val="001967F1"/>
    <w:rsid w:val="001967F3"/>
    <w:rsid w:val="00196E83"/>
    <w:rsid w:val="00197151"/>
    <w:rsid w:val="00197375"/>
    <w:rsid w:val="001973B5"/>
    <w:rsid w:val="001974BB"/>
    <w:rsid w:val="0019799C"/>
    <w:rsid w:val="00197D5B"/>
    <w:rsid w:val="00197DE7"/>
    <w:rsid w:val="001A009C"/>
    <w:rsid w:val="001A00F1"/>
    <w:rsid w:val="001A0783"/>
    <w:rsid w:val="001A0904"/>
    <w:rsid w:val="001A0A67"/>
    <w:rsid w:val="001A0B1E"/>
    <w:rsid w:val="001A0B52"/>
    <w:rsid w:val="001A110D"/>
    <w:rsid w:val="001A1239"/>
    <w:rsid w:val="001A14E2"/>
    <w:rsid w:val="001A1612"/>
    <w:rsid w:val="001A19DA"/>
    <w:rsid w:val="001A1B30"/>
    <w:rsid w:val="001A1B92"/>
    <w:rsid w:val="001A1C7C"/>
    <w:rsid w:val="001A1D30"/>
    <w:rsid w:val="001A2341"/>
    <w:rsid w:val="001A2490"/>
    <w:rsid w:val="001A24F8"/>
    <w:rsid w:val="001A28D0"/>
    <w:rsid w:val="001A2B5A"/>
    <w:rsid w:val="001A2D13"/>
    <w:rsid w:val="001A2E06"/>
    <w:rsid w:val="001A2EC6"/>
    <w:rsid w:val="001A37B7"/>
    <w:rsid w:val="001A38D0"/>
    <w:rsid w:val="001A3BC8"/>
    <w:rsid w:val="001A3BDD"/>
    <w:rsid w:val="001A3E0A"/>
    <w:rsid w:val="001A3E25"/>
    <w:rsid w:val="001A4646"/>
    <w:rsid w:val="001A4756"/>
    <w:rsid w:val="001A4C98"/>
    <w:rsid w:val="001A4ECD"/>
    <w:rsid w:val="001A4F4A"/>
    <w:rsid w:val="001A55B4"/>
    <w:rsid w:val="001A5794"/>
    <w:rsid w:val="001A5941"/>
    <w:rsid w:val="001A5A1B"/>
    <w:rsid w:val="001A5FD0"/>
    <w:rsid w:val="001A603A"/>
    <w:rsid w:val="001A60E5"/>
    <w:rsid w:val="001A6263"/>
    <w:rsid w:val="001A67CB"/>
    <w:rsid w:val="001A6FB4"/>
    <w:rsid w:val="001A7131"/>
    <w:rsid w:val="001A7154"/>
    <w:rsid w:val="001A716C"/>
    <w:rsid w:val="001A78FA"/>
    <w:rsid w:val="001A797A"/>
    <w:rsid w:val="001A7ADD"/>
    <w:rsid w:val="001A7C19"/>
    <w:rsid w:val="001B0288"/>
    <w:rsid w:val="001B02EB"/>
    <w:rsid w:val="001B0440"/>
    <w:rsid w:val="001B058D"/>
    <w:rsid w:val="001B0D17"/>
    <w:rsid w:val="001B0F25"/>
    <w:rsid w:val="001B141F"/>
    <w:rsid w:val="001B16E5"/>
    <w:rsid w:val="001B16F1"/>
    <w:rsid w:val="001B183E"/>
    <w:rsid w:val="001B19C9"/>
    <w:rsid w:val="001B1AF8"/>
    <w:rsid w:val="001B1B41"/>
    <w:rsid w:val="001B1BAE"/>
    <w:rsid w:val="001B21F7"/>
    <w:rsid w:val="001B2209"/>
    <w:rsid w:val="001B2537"/>
    <w:rsid w:val="001B25C8"/>
    <w:rsid w:val="001B2838"/>
    <w:rsid w:val="001B28B7"/>
    <w:rsid w:val="001B2AF8"/>
    <w:rsid w:val="001B2B55"/>
    <w:rsid w:val="001B3035"/>
    <w:rsid w:val="001B3163"/>
    <w:rsid w:val="001B328F"/>
    <w:rsid w:val="001B35D5"/>
    <w:rsid w:val="001B429A"/>
    <w:rsid w:val="001B48FB"/>
    <w:rsid w:val="001B4CD5"/>
    <w:rsid w:val="001B4DE9"/>
    <w:rsid w:val="001B4E56"/>
    <w:rsid w:val="001B54D0"/>
    <w:rsid w:val="001B55DA"/>
    <w:rsid w:val="001B5848"/>
    <w:rsid w:val="001B5AE3"/>
    <w:rsid w:val="001B5E75"/>
    <w:rsid w:val="001B6649"/>
    <w:rsid w:val="001B679A"/>
    <w:rsid w:val="001B7166"/>
    <w:rsid w:val="001B740F"/>
    <w:rsid w:val="001B779F"/>
    <w:rsid w:val="001B78A4"/>
    <w:rsid w:val="001B79FE"/>
    <w:rsid w:val="001B7C05"/>
    <w:rsid w:val="001B7E6B"/>
    <w:rsid w:val="001B7EAE"/>
    <w:rsid w:val="001C0082"/>
    <w:rsid w:val="001C0186"/>
    <w:rsid w:val="001C0480"/>
    <w:rsid w:val="001C099A"/>
    <w:rsid w:val="001C0DE8"/>
    <w:rsid w:val="001C0EF2"/>
    <w:rsid w:val="001C12A8"/>
    <w:rsid w:val="001C1668"/>
    <w:rsid w:val="001C1C52"/>
    <w:rsid w:val="001C2571"/>
    <w:rsid w:val="001C2583"/>
    <w:rsid w:val="001C27C9"/>
    <w:rsid w:val="001C297F"/>
    <w:rsid w:val="001C2B2A"/>
    <w:rsid w:val="001C2D58"/>
    <w:rsid w:val="001C3512"/>
    <w:rsid w:val="001C380E"/>
    <w:rsid w:val="001C3BED"/>
    <w:rsid w:val="001C3F95"/>
    <w:rsid w:val="001C42D6"/>
    <w:rsid w:val="001C45AA"/>
    <w:rsid w:val="001C479B"/>
    <w:rsid w:val="001C4A72"/>
    <w:rsid w:val="001C4D03"/>
    <w:rsid w:val="001C4DA5"/>
    <w:rsid w:val="001C50DB"/>
    <w:rsid w:val="001C52F3"/>
    <w:rsid w:val="001C5599"/>
    <w:rsid w:val="001C5CF3"/>
    <w:rsid w:val="001C5DBD"/>
    <w:rsid w:val="001C60AC"/>
    <w:rsid w:val="001C63EC"/>
    <w:rsid w:val="001C6779"/>
    <w:rsid w:val="001C6A5E"/>
    <w:rsid w:val="001C6B41"/>
    <w:rsid w:val="001C6C5A"/>
    <w:rsid w:val="001C6F23"/>
    <w:rsid w:val="001C73C6"/>
    <w:rsid w:val="001C74B4"/>
    <w:rsid w:val="001C7557"/>
    <w:rsid w:val="001C7C85"/>
    <w:rsid w:val="001D0254"/>
    <w:rsid w:val="001D0586"/>
    <w:rsid w:val="001D05D4"/>
    <w:rsid w:val="001D065F"/>
    <w:rsid w:val="001D0B55"/>
    <w:rsid w:val="001D12F9"/>
    <w:rsid w:val="001D1872"/>
    <w:rsid w:val="001D1D67"/>
    <w:rsid w:val="001D2122"/>
    <w:rsid w:val="001D226D"/>
    <w:rsid w:val="001D27C0"/>
    <w:rsid w:val="001D28AA"/>
    <w:rsid w:val="001D28CC"/>
    <w:rsid w:val="001D2A6E"/>
    <w:rsid w:val="001D2AE8"/>
    <w:rsid w:val="001D2C7B"/>
    <w:rsid w:val="001D2D3B"/>
    <w:rsid w:val="001D2DDB"/>
    <w:rsid w:val="001D31E0"/>
    <w:rsid w:val="001D3258"/>
    <w:rsid w:val="001D3271"/>
    <w:rsid w:val="001D34DF"/>
    <w:rsid w:val="001D40AD"/>
    <w:rsid w:val="001D40FA"/>
    <w:rsid w:val="001D428D"/>
    <w:rsid w:val="001D42F0"/>
    <w:rsid w:val="001D4514"/>
    <w:rsid w:val="001D4631"/>
    <w:rsid w:val="001D4D7B"/>
    <w:rsid w:val="001D53C5"/>
    <w:rsid w:val="001D551A"/>
    <w:rsid w:val="001D55BC"/>
    <w:rsid w:val="001D564F"/>
    <w:rsid w:val="001D5720"/>
    <w:rsid w:val="001D586F"/>
    <w:rsid w:val="001D5AC2"/>
    <w:rsid w:val="001D5C7D"/>
    <w:rsid w:val="001D5DF3"/>
    <w:rsid w:val="001D6089"/>
    <w:rsid w:val="001D66E5"/>
    <w:rsid w:val="001D6827"/>
    <w:rsid w:val="001D6B5B"/>
    <w:rsid w:val="001D6F6A"/>
    <w:rsid w:val="001D7089"/>
    <w:rsid w:val="001D724C"/>
    <w:rsid w:val="001D734E"/>
    <w:rsid w:val="001D74AE"/>
    <w:rsid w:val="001D7775"/>
    <w:rsid w:val="001D78E2"/>
    <w:rsid w:val="001D7DCC"/>
    <w:rsid w:val="001E0147"/>
    <w:rsid w:val="001E0632"/>
    <w:rsid w:val="001E06C8"/>
    <w:rsid w:val="001E0738"/>
    <w:rsid w:val="001E0E40"/>
    <w:rsid w:val="001E0E5A"/>
    <w:rsid w:val="001E0EBA"/>
    <w:rsid w:val="001E0F6F"/>
    <w:rsid w:val="001E16E5"/>
    <w:rsid w:val="001E17DA"/>
    <w:rsid w:val="001E1A70"/>
    <w:rsid w:val="001E1F0C"/>
    <w:rsid w:val="001E2700"/>
    <w:rsid w:val="001E27AF"/>
    <w:rsid w:val="001E2E1D"/>
    <w:rsid w:val="001E2ED7"/>
    <w:rsid w:val="001E2F19"/>
    <w:rsid w:val="001E3023"/>
    <w:rsid w:val="001E32C0"/>
    <w:rsid w:val="001E3577"/>
    <w:rsid w:val="001E39B4"/>
    <w:rsid w:val="001E3E63"/>
    <w:rsid w:val="001E44D2"/>
    <w:rsid w:val="001E4761"/>
    <w:rsid w:val="001E47B5"/>
    <w:rsid w:val="001E4A76"/>
    <w:rsid w:val="001E4CE2"/>
    <w:rsid w:val="001E4D55"/>
    <w:rsid w:val="001E4DB0"/>
    <w:rsid w:val="001E4E28"/>
    <w:rsid w:val="001E4F6B"/>
    <w:rsid w:val="001E510A"/>
    <w:rsid w:val="001E5671"/>
    <w:rsid w:val="001E5B66"/>
    <w:rsid w:val="001E5FF9"/>
    <w:rsid w:val="001E66FF"/>
    <w:rsid w:val="001E6783"/>
    <w:rsid w:val="001E69C2"/>
    <w:rsid w:val="001E6B15"/>
    <w:rsid w:val="001E6B2E"/>
    <w:rsid w:val="001E6C63"/>
    <w:rsid w:val="001E6D6D"/>
    <w:rsid w:val="001E724A"/>
    <w:rsid w:val="001E7348"/>
    <w:rsid w:val="001E754F"/>
    <w:rsid w:val="001E7884"/>
    <w:rsid w:val="001E7CED"/>
    <w:rsid w:val="001F0257"/>
    <w:rsid w:val="001F0927"/>
    <w:rsid w:val="001F0A6F"/>
    <w:rsid w:val="001F0AAF"/>
    <w:rsid w:val="001F0D43"/>
    <w:rsid w:val="001F107E"/>
    <w:rsid w:val="001F1105"/>
    <w:rsid w:val="001F175F"/>
    <w:rsid w:val="001F19A2"/>
    <w:rsid w:val="001F1CA3"/>
    <w:rsid w:val="001F1FB2"/>
    <w:rsid w:val="001F21A7"/>
    <w:rsid w:val="001F225A"/>
    <w:rsid w:val="001F22DD"/>
    <w:rsid w:val="001F235D"/>
    <w:rsid w:val="001F29EC"/>
    <w:rsid w:val="001F2CDA"/>
    <w:rsid w:val="001F360C"/>
    <w:rsid w:val="001F37F7"/>
    <w:rsid w:val="001F37FF"/>
    <w:rsid w:val="001F3CF6"/>
    <w:rsid w:val="001F49F4"/>
    <w:rsid w:val="001F4ABA"/>
    <w:rsid w:val="001F4B1E"/>
    <w:rsid w:val="001F4B90"/>
    <w:rsid w:val="001F4E9D"/>
    <w:rsid w:val="001F4FEA"/>
    <w:rsid w:val="001F577D"/>
    <w:rsid w:val="001F5B1D"/>
    <w:rsid w:val="001F5BB5"/>
    <w:rsid w:val="001F5C6A"/>
    <w:rsid w:val="001F5FED"/>
    <w:rsid w:val="001F67FC"/>
    <w:rsid w:val="001F6A5E"/>
    <w:rsid w:val="001F6ADF"/>
    <w:rsid w:val="001F7334"/>
    <w:rsid w:val="001F7673"/>
    <w:rsid w:val="001F77FD"/>
    <w:rsid w:val="001F7C6F"/>
    <w:rsid w:val="001F7EBD"/>
    <w:rsid w:val="0020001B"/>
    <w:rsid w:val="00200129"/>
    <w:rsid w:val="002001E4"/>
    <w:rsid w:val="00200311"/>
    <w:rsid w:val="002003AC"/>
    <w:rsid w:val="00200869"/>
    <w:rsid w:val="00200E53"/>
    <w:rsid w:val="00200EA3"/>
    <w:rsid w:val="00201286"/>
    <w:rsid w:val="002015C7"/>
    <w:rsid w:val="00201694"/>
    <w:rsid w:val="00201A02"/>
    <w:rsid w:val="002021EC"/>
    <w:rsid w:val="002025CB"/>
    <w:rsid w:val="00202887"/>
    <w:rsid w:val="002028EF"/>
    <w:rsid w:val="00202AE8"/>
    <w:rsid w:val="00202C0A"/>
    <w:rsid w:val="00202D1C"/>
    <w:rsid w:val="00202EB5"/>
    <w:rsid w:val="00202F8A"/>
    <w:rsid w:val="002033F5"/>
    <w:rsid w:val="002038B8"/>
    <w:rsid w:val="00203C19"/>
    <w:rsid w:val="002042C8"/>
    <w:rsid w:val="00204583"/>
    <w:rsid w:val="00204C01"/>
    <w:rsid w:val="00204E5F"/>
    <w:rsid w:val="00204F6B"/>
    <w:rsid w:val="0020500D"/>
    <w:rsid w:val="00205450"/>
    <w:rsid w:val="0020579E"/>
    <w:rsid w:val="00205DC6"/>
    <w:rsid w:val="00205EC1"/>
    <w:rsid w:val="00206111"/>
    <w:rsid w:val="0020630B"/>
    <w:rsid w:val="002066AE"/>
    <w:rsid w:val="00206863"/>
    <w:rsid w:val="0020692E"/>
    <w:rsid w:val="002069A8"/>
    <w:rsid w:val="00206A2F"/>
    <w:rsid w:val="00206DD7"/>
    <w:rsid w:val="00206E9C"/>
    <w:rsid w:val="00206F65"/>
    <w:rsid w:val="00207235"/>
    <w:rsid w:val="00207841"/>
    <w:rsid w:val="00207D0C"/>
    <w:rsid w:val="0021003B"/>
    <w:rsid w:val="002101E0"/>
    <w:rsid w:val="0021044B"/>
    <w:rsid w:val="002104E1"/>
    <w:rsid w:val="0021094E"/>
    <w:rsid w:val="00210E21"/>
    <w:rsid w:val="00211005"/>
    <w:rsid w:val="00211096"/>
    <w:rsid w:val="00211332"/>
    <w:rsid w:val="00211862"/>
    <w:rsid w:val="002119B3"/>
    <w:rsid w:val="0021200A"/>
    <w:rsid w:val="002120A5"/>
    <w:rsid w:val="0021241E"/>
    <w:rsid w:val="00212497"/>
    <w:rsid w:val="00212567"/>
    <w:rsid w:val="00212858"/>
    <w:rsid w:val="00212CD0"/>
    <w:rsid w:val="00212DAE"/>
    <w:rsid w:val="00212EBA"/>
    <w:rsid w:val="00212EE3"/>
    <w:rsid w:val="0021329F"/>
    <w:rsid w:val="00213775"/>
    <w:rsid w:val="002137DD"/>
    <w:rsid w:val="002137EC"/>
    <w:rsid w:val="00213A90"/>
    <w:rsid w:val="00213F25"/>
    <w:rsid w:val="00213F6D"/>
    <w:rsid w:val="00214123"/>
    <w:rsid w:val="002144A6"/>
    <w:rsid w:val="002145E1"/>
    <w:rsid w:val="00214A3B"/>
    <w:rsid w:val="00214B21"/>
    <w:rsid w:val="00214BBF"/>
    <w:rsid w:val="0021503D"/>
    <w:rsid w:val="002151AD"/>
    <w:rsid w:val="002153A6"/>
    <w:rsid w:val="00215466"/>
    <w:rsid w:val="0021594B"/>
    <w:rsid w:val="00215C40"/>
    <w:rsid w:val="00215D02"/>
    <w:rsid w:val="00215F5B"/>
    <w:rsid w:val="002160B0"/>
    <w:rsid w:val="00216170"/>
    <w:rsid w:val="0021619B"/>
    <w:rsid w:val="002162E9"/>
    <w:rsid w:val="002169DC"/>
    <w:rsid w:val="00216A98"/>
    <w:rsid w:val="00216D66"/>
    <w:rsid w:val="00216E99"/>
    <w:rsid w:val="00216FC5"/>
    <w:rsid w:val="00217209"/>
    <w:rsid w:val="00217269"/>
    <w:rsid w:val="00217281"/>
    <w:rsid w:val="002174DA"/>
    <w:rsid w:val="0021755E"/>
    <w:rsid w:val="002175BB"/>
    <w:rsid w:val="00217A16"/>
    <w:rsid w:val="00217F42"/>
    <w:rsid w:val="00217FF5"/>
    <w:rsid w:val="00220133"/>
    <w:rsid w:val="002201D4"/>
    <w:rsid w:val="002202F3"/>
    <w:rsid w:val="0022046D"/>
    <w:rsid w:val="002205EC"/>
    <w:rsid w:val="002208DB"/>
    <w:rsid w:val="00220C39"/>
    <w:rsid w:val="00220F77"/>
    <w:rsid w:val="0022125D"/>
    <w:rsid w:val="00221335"/>
    <w:rsid w:val="00221714"/>
    <w:rsid w:val="0022190E"/>
    <w:rsid w:val="00221E5C"/>
    <w:rsid w:val="0022243F"/>
    <w:rsid w:val="00222776"/>
    <w:rsid w:val="0022309B"/>
    <w:rsid w:val="002230F0"/>
    <w:rsid w:val="00223183"/>
    <w:rsid w:val="00223449"/>
    <w:rsid w:val="00223564"/>
    <w:rsid w:val="00223777"/>
    <w:rsid w:val="002237B7"/>
    <w:rsid w:val="0022386C"/>
    <w:rsid w:val="002239BC"/>
    <w:rsid w:val="00223C7E"/>
    <w:rsid w:val="00223D09"/>
    <w:rsid w:val="00223E87"/>
    <w:rsid w:val="00223F48"/>
    <w:rsid w:val="00224759"/>
    <w:rsid w:val="00224995"/>
    <w:rsid w:val="00224DA0"/>
    <w:rsid w:val="00224EA4"/>
    <w:rsid w:val="00224EF7"/>
    <w:rsid w:val="00225005"/>
    <w:rsid w:val="002253AD"/>
    <w:rsid w:val="00225575"/>
    <w:rsid w:val="0022594B"/>
    <w:rsid w:val="00225982"/>
    <w:rsid w:val="00225A3C"/>
    <w:rsid w:val="00225B76"/>
    <w:rsid w:val="00225F9B"/>
    <w:rsid w:val="00226036"/>
    <w:rsid w:val="00226038"/>
    <w:rsid w:val="00226346"/>
    <w:rsid w:val="002269F3"/>
    <w:rsid w:val="00226F97"/>
    <w:rsid w:val="00227CD8"/>
    <w:rsid w:val="00227DA6"/>
    <w:rsid w:val="0023088E"/>
    <w:rsid w:val="00230A04"/>
    <w:rsid w:val="00231181"/>
    <w:rsid w:val="002313D8"/>
    <w:rsid w:val="0023181B"/>
    <w:rsid w:val="00231943"/>
    <w:rsid w:val="00231B8D"/>
    <w:rsid w:val="00231E44"/>
    <w:rsid w:val="00231E99"/>
    <w:rsid w:val="00232152"/>
    <w:rsid w:val="002323D7"/>
    <w:rsid w:val="00233298"/>
    <w:rsid w:val="0023363B"/>
    <w:rsid w:val="00233848"/>
    <w:rsid w:val="002338C5"/>
    <w:rsid w:val="0023401C"/>
    <w:rsid w:val="002342C9"/>
    <w:rsid w:val="0023473E"/>
    <w:rsid w:val="002347F1"/>
    <w:rsid w:val="00234A63"/>
    <w:rsid w:val="00234E11"/>
    <w:rsid w:val="00235147"/>
    <w:rsid w:val="00235734"/>
    <w:rsid w:val="0023580D"/>
    <w:rsid w:val="00235811"/>
    <w:rsid w:val="00235E19"/>
    <w:rsid w:val="002360D4"/>
    <w:rsid w:val="0023633D"/>
    <w:rsid w:val="00237166"/>
    <w:rsid w:val="00237864"/>
    <w:rsid w:val="00237D61"/>
    <w:rsid w:val="002401D9"/>
    <w:rsid w:val="00240205"/>
    <w:rsid w:val="00240711"/>
    <w:rsid w:val="0024089B"/>
    <w:rsid w:val="0024094A"/>
    <w:rsid w:val="002409CA"/>
    <w:rsid w:val="00240FE5"/>
    <w:rsid w:val="002410D1"/>
    <w:rsid w:val="00241339"/>
    <w:rsid w:val="0024133B"/>
    <w:rsid w:val="00241A67"/>
    <w:rsid w:val="00241A87"/>
    <w:rsid w:val="00241DC9"/>
    <w:rsid w:val="00241DEC"/>
    <w:rsid w:val="00241EEA"/>
    <w:rsid w:val="00242427"/>
    <w:rsid w:val="0024244F"/>
    <w:rsid w:val="00242A87"/>
    <w:rsid w:val="00242D5B"/>
    <w:rsid w:val="00242E82"/>
    <w:rsid w:val="0024337A"/>
    <w:rsid w:val="002436DD"/>
    <w:rsid w:val="00243B74"/>
    <w:rsid w:val="00243F93"/>
    <w:rsid w:val="00243FB3"/>
    <w:rsid w:val="0024422D"/>
    <w:rsid w:val="002446A3"/>
    <w:rsid w:val="002446DB"/>
    <w:rsid w:val="002449AE"/>
    <w:rsid w:val="00244AB6"/>
    <w:rsid w:val="00244BAC"/>
    <w:rsid w:val="0024558D"/>
    <w:rsid w:val="00245708"/>
    <w:rsid w:val="00245808"/>
    <w:rsid w:val="00245853"/>
    <w:rsid w:val="00245B25"/>
    <w:rsid w:val="002461BA"/>
    <w:rsid w:val="0024631F"/>
    <w:rsid w:val="00246571"/>
    <w:rsid w:val="002467BB"/>
    <w:rsid w:val="002468D6"/>
    <w:rsid w:val="00246A7C"/>
    <w:rsid w:val="00246AC6"/>
    <w:rsid w:val="00246D45"/>
    <w:rsid w:val="00246FC6"/>
    <w:rsid w:val="002471D3"/>
    <w:rsid w:val="00247256"/>
    <w:rsid w:val="0024774F"/>
    <w:rsid w:val="00247D58"/>
    <w:rsid w:val="00247F93"/>
    <w:rsid w:val="00250015"/>
    <w:rsid w:val="002500F4"/>
    <w:rsid w:val="002504BB"/>
    <w:rsid w:val="00250869"/>
    <w:rsid w:val="00250B9E"/>
    <w:rsid w:val="00250ED6"/>
    <w:rsid w:val="0025112A"/>
    <w:rsid w:val="002513F9"/>
    <w:rsid w:val="00251B72"/>
    <w:rsid w:val="00251EED"/>
    <w:rsid w:val="002520DE"/>
    <w:rsid w:val="00252403"/>
    <w:rsid w:val="0025249E"/>
    <w:rsid w:val="0025256F"/>
    <w:rsid w:val="00252AB0"/>
    <w:rsid w:val="00252EB7"/>
    <w:rsid w:val="002531C4"/>
    <w:rsid w:val="00253831"/>
    <w:rsid w:val="00253BA8"/>
    <w:rsid w:val="00253E27"/>
    <w:rsid w:val="00253F3F"/>
    <w:rsid w:val="00253FF6"/>
    <w:rsid w:val="00254645"/>
    <w:rsid w:val="00254708"/>
    <w:rsid w:val="00254804"/>
    <w:rsid w:val="00254808"/>
    <w:rsid w:val="00254A9E"/>
    <w:rsid w:val="00254BE1"/>
    <w:rsid w:val="00255229"/>
    <w:rsid w:val="0025536D"/>
    <w:rsid w:val="00255492"/>
    <w:rsid w:val="00255506"/>
    <w:rsid w:val="002555D8"/>
    <w:rsid w:val="002556A4"/>
    <w:rsid w:val="00255808"/>
    <w:rsid w:val="0025588E"/>
    <w:rsid w:val="00255B10"/>
    <w:rsid w:val="00255E45"/>
    <w:rsid w:val="00256302"/>
    <w:rsid w:val="002563CA"/>
    <w:rsid w:val="00256659"/>
    <w:rsid w:val="002568C3"/>
    <w:rsid w:val="00256C99"/>
    <w:rsid w:val="00257A48"/>
    <w:rsid w:val="00257B2C"/>
    <w:rsid w:val="00257E22"/>
    <w:rsid w:val="00257EA7"/>
    <w:rsid w:val="00260240"/>
    <w:rsid w:val="00260394"/>
    <w:rsid w:val="002604DA"/>
    <w:rsid w:val="002608E3"/>
    <w:rsid w:val="00260BD3"/>
    <w:rsid w:val="00260F8C"/>
    <w:rsid w:val="002617A6"/>
    <w:rsid w:val="00261BD9"/>
    <w:rsid w:val="00261D40"/>
    <w:rsid w:val="00261FD1"/>
    <w:rsid w:val="00262074"/>
    <w:rsid w:val="002621EE"/>
    <w:rsid w:val="00262237"/>
    <w:rsid w:val="002628E1"/>
    <w:rsid w:val="00262C74"/>
    <w:rsid w:val="00262ED2"/>
    <w:rsid w:val="00263ACF"/>
    <w:rsid w:val="00263BA5"/>
    <w:rsid w:val="00263BB3"/>
    <w:rsid w:val="00263CFC"/>
    <w:rsid w:val="00264045"/>
    <w:rsid w:val="00264095"/>
    <w:rsid w:val="00264298"/>
    <w:rsid w:val="002642B6"/>
    <w:rsid w:val="0026471F"/>
    <w:rsid w:val="0026486E"/>
    <w:rsid w:val="0026498C"/>
    <w:rsid w:val="00265231"/>
    <w:rsid w:val="00265345"/>
    <w:rsid w:val="002655F1"/>
    <w:rsid w:val="00265AFD"/>
    <w:rsid w:val="00265CE2"/>
    <w:rsid w:val="00265CEA"/>
    <w:rsid w:val="00265D30"/>
    <w:rsid w:val="00265D8D"/>
    <w:rsid w:val="00266081"/>
    <w:rsid w:val="00266157"/>
    <w:rsid w:val="00266511"/>
    <w:rsid w:val="00266796"/>
    <w:rsid w:val="002667CE"/>
    <w:rsid w:val="00266D3B"/>
    <w:rsid w:val="00266EF5"/>
    <w:rsid w:val="00266FD4"/>
    <w:rsid w:val="00267626"/>
    <w:rsid w:val="002677C4"/>
    <w:rsid w:val="002677E0"/>
    <w:rsid w:val="00267D66"/>
    <w:rsid w:val="00267E61"/>
    <w:rsid w:val="0027034B"/>
    <w:rsid w:val="002707CA"/>
    <w:rsid w:val="00270C86"/>
    <w:rsid w:val="00270E2D"/>
    <w:rsid w:val="00270E6D"/>
    <w:rsid w:val="0027106F"/>
    <w:rsid w:val="00271517"/>
    <w:rsid w:val="0027185F"/>
    <w:rsid w:val="00271FC6"/>
    <w:rsid w:val="0027218F"/>
    <w:rsid w:val="0027239C"/>
    <w:rsid w:val="0027259A"/>
    <w:rsid w:val="0027264B"/>
    <w:rsid w:val="0027282D"/>
    <w:rsid w:val="002728DA"/>
    <w:rsid w:val="00272A3A"/>
    <w:rsid w:val="002730AF"/>
    <w:rsid w:val="0027312A"/>
    <w:rsid w:val="00273C49"/>
    <w:rsid w:val="00273ED6"/>
    <w:rsid w:val="0027409B"/>
    <w:rsid w:val="0027411E"/>
    <w:rsid w:val="00274467"/>
    <w:rsid w:val="0027456F"/>
    <w:rsid w:val="00274A95"/>
    <w:rsid w:val="00274B96"/>
    <w:rsid w:val="00274E96"/>
    <w:rsid w:val="00274F4B"/>
    <w:rsid w:val="00275336"/>
    <w:rsid w:val="0027558C"/>
    <w:rsid w:val="0027589F"/>
    <w:rsid w:val="00275C59"/>
    <w:rsid w:val="00275CA1"/>
    <w:rsid w:val="00275D3C"/>
    <w:rsid w:val="0027642A"/>
    <w:rsid w:val="002766BC"/>
    <w:rsid w:val="0027681F"/>
    <w:rsid w:val="00276843"/>
    <w:rsid w:val="00276C61"/>
    <w:rsid w:val="00276ED8"/>
    <w:rsid w:val="002773F1"/>
    <w:rsid w:val="0027740F"/>
    <w:rsid w:val="002775F5"/>
    <w:rsid w:val="00277AF1"/>
    <w:rsid w:val="00277EC3"/>
    <w:rsid w:val="002800A6"/>
    <w:rsid w:val="0028040D"/>
    <w:rsid w:val="00280B06"/>
    <w:rsid w:val="00280EBE"/>
    <w:rsid w:val="00281011"/>
    <w:rsid w:val="00281314"/>
    <w:rsid w:val="0028134A"/>
    <w:rsid w:val="0028142A"/>
    <w:rsid w:val="002814A8"/>
    <w:rsid w:val="0028150B"/>
    <w:rsid w:val="002819A4"/>
    <w:rsid w:val="00281BA5"/>
    <w:rsid w:val="00281BC2"/>
    <w:rsid w:val="00281D61"/>
    <w:rsid w:val="00281DE7"/>
    <w:rsid w:val="00281FAB"/>
    <w:rsid w:val="00282254"/>
    <w:rsid w:val="002825B9"/>
    <w:rsid w:val="00282673"/>
    <w:rsid w:val="00282A41"/>
    <w:rsid w:val="0028318C"/>
    <w:rsid w:val="002836CA"/>
    <w:rsid w:val="00283969"/>
    <w:rsid w:val="00283C3C"/>
    <w:rsid w:val="00284138"/>
    <w:rsid w:val="002841FF"/>
    <w:rsid w:val="00284354"/>
    <w:rsid w:val="00284715"/>
    <w:rsid w:val="002847AE"/>
    <w:rsid w:val="00284939"/>
    <w:rsid w:val="00284A75"/>
    <w:rsid w:val="00284C9D"/>
    <w:rsid w:val="00284F31"/>
    <w:rsid w:val="00284FB2"/>
    <w:rsid w:val="002854C5"/>
    <w:rsid w:val="0028593E"/>
    <w:rsid w:val="00285DAE"/>
    <w:rsid w:val="002861D9"/>
    <w:rsid w:val="002861E4"/>
    <w:rsid w:val="002870AB"/>
    <w:rsid w:val="0028782A"/>
    <w:rsid w:val="0029034B"/>
    <w:rsid w:val="002904A0"/>
    <w:rsid w:val="002907CA"/>
    <w:rsid w:val="0029095F"/>
    <w:rsid w:val="00290C9A"/>
    <w:rsid w:val="00290D9B"/>
    <w:rsid w:val="0029144A"/>
    <w:rsid w:val="00291490"/>
    <w:rsid w:val="00291780"/>
    <w:rsid w:val="0029189F"/>
    <w:rsid w:val="00291BE6"/>
    <w:rsid w:val="00291C44"/>
    <w:rsid w:val="00291C6D"/>
    <w:rsid w:val="0029210F"/>
    <w:rsid w:val="0029260C"/>
    <w:rsid w:val="00292691"/>
    <w:rsid w:val="00292946"/>
    <w:rsid w:val="00293043"/>
    <w:rsid w:val="00293101"/>
    <w:rsid w:val="00293686"/>
    <w:rsid w:val="00293763"/>
    <w:rsid w:val="00293A91"/>
    <w:rsid w:val="00293E36"/>
    <w:rsid w:val="0029401F"/>
    <w:rsid w:val="00294149"/>
    <w:rsid w:val="002941D1"/>
    <w:rsid w:val="0029452A"/>
    <w:rsid w:val="002949F7"/>
    <w:rsid w:val="00294AC1"/>
    <w:rsid w:val="00294C37"/>
    <w:rsid w:val="0029529E"/>
    <w:rsid w:val="00295374"/>
    <w:rsid w:val="00295472"/>
    <w:rsid w:val="002955C5"/>
    <w:rsid w:val="00295A87"/>
    <w:rsid w:val="00295F08"/>
    <w:rsid w:val="002960DC"/>
    <w:rsid w:val="00296123"/>
    <w:rsid w:val="0029654A"/>
    <w:rsid w:val="002966D0"/>
    <w:rsid w:val="0029721C"/>
    <w:rsid w:val="00297417"/>
    <w:rsid w:val="0029770B"/>
    <w:rsid w:val="00297AE9"/>
    <w:rsid w:val="002A02D1"/>
    <w:rsid w:val="002A0E10"/>
    <w:rsid w:val="002A0F62"/>
    <w:rsid w:val="002A1085"/>
    <w:rsid w:val="002A14C2"/>
    <w:rsid w:val="002A1B10"/>
    <w:rsid w:val="002A1B43"/>
    <w:rsid w:val="002A1B5A"/>
    <w:rsid w:val="002A1CB1"/>
    <w:rsid w:val="002A1EE7"/>
    <w:rsid w:val="002A2123"/>
    <w:rsid w:val="002A214C"/>
    <w:rsid w:val="002A245B"/>
    <w:rsid w:val="002A2626"/>
    <w:rsid w:val="002A29A5"/>
    <w:rsid w:val="002A2B4F"/>
    <w:rsid w:val="002A2BF4"/>
    <w:rsid w:val="002A2BF9"/>
    <w:rsid w:val="002A2E97"/>
    <w:rsid w:val="002A30D4"/>
    <w:rsid w:val="002A3608"/>
    <w:rsid w:val="002A3EBE"/>
    <w:rsid w:val="002A420F"/>
    <w:rsid w:val="002A4797"/>
    <w:rsid w:val="002A489C"/>
    <w:rsid w:val="002A4C4A"/>
    <w:rsid w:val="002A4EA8"/>
    <w:rsid w:val="002A514E"/>
    <w:rsid w:val="002A51D0"/>
    <w:rsid w:val="002A599F"/>
    <w:rsid w:val="002A5C73"/>
    <w:rsid w:val="002A5FB8"/>
    <w:rsid w:val="002A639C"/>
    <w:rsid w:val="002A664C"/>
    <w:rsid w:val="002A6BC1"/>
    <w:rsid w:val="002A6C65"/>
    <w:rsid w:val="002A6FF7"/>
    <w:rsid w:val="002A7074"/>
    <w:rsid w:val="002A70A8"/>
    <w:rsid w:val="002A72E3"/>
    <w:rsid w:val="002A7603"/>
    <w:rsid w:val="002A770E"/>
    <w:rsid w:val="002A78FE"/>
    <w:rsid w:val="002A7C54"/>
    <w:rsid w:val="002A7FA4"/>
    <w:rsid w:val="002B09CB"/>
    <w:rsid w:val="002B0AB9"/>
    <w:rsid w:val="002B0AE0"/>
    <w:rsid w:val="002B0EB7"/>
    <w:rsid w:val="002B1287"/>
    <w:rsid w:val="002B133E"/>
    <w:rsid w:val="002B1522"/>
    <w:rsid w:val="002B15B0"/>
    <w:rsid w:val="002B1659"/>
    <w:rsid w:val="002B1A41"/>
    <w:rsid w:val="002B1AB3"/>
    <w:rsid w:val="002B1C2A"/>
    <w:rsid w:val="002B1FF5"/>
    <w:rsid w:val="002B2124"/>
    <w:rsid w:val="002B2811"/>
    <w:rsid w:val="002B2CDE"/>
    <w:rsid w:val="002B373E"/>
    <w:rsid w:val="002B3AF7"/>
    <w:rsid w:val="002B3B98"/>
    <w:rsid w:val="002B3E09"/>
    <w:rsid w:val="002B41F1"/>
    <w:rsid w:val="002B42D7"/>
    <w:rsid w:val="002B4353"/>
    <w:rsid w:val="002B4602"/>
    <w:rsid w:val="002B4980"/>
    <w:rsid w:val="002B4C02"/>
    <w:rsid w:val="002B4F77"/>
    <w:rsid w:val="002B513E"/>
    <w:rsid w:val="002B524B"/>
    <w:rsid w:val="002B5AC2"/>
    <w:rsid w:val="002B5CE6"/>
    <w:rsid w:val="002B5F15"/>
    <w:rsid w:val="002B5FA2"/>
    <w:rsid w:val="002B601F"/>
    <w:rsid w:val="002B61C0"/>
    <w:rsid w:val="002B68D1"/>
    <w:rsid w:val="002B6B46"/>
    <w:rsid w:val="002B7031"/>
    <w:rsid w:val="002B7562"/>
    <w:rsid w:val="002B75BB"/>
    <w:rsid w:val="002B7842"/>
    <w:rsid w:val="002B78F1"/>
    <w:rsid w:val="002B7E8E"/>
    <w:rsid w:val="002C0005"/>
    <w:rsid w:val="002C0A59"/>
    <w:rsid w:val="002C0E60"/>
    <w:rsid w:val="002C1965"/>
    <w:rsid w:val="002C1B31"/>
    <w:rsid w:val="002C1F55"/>
    <w:rsid w:val="002C20FB"/>
    <w:rsid w:val="002C23B9"/>
    <w:rsid w:val="002C2411"/>
    <w:rsid w:val="002C2511"/>
    <w:rsid w:val="002C25E8"/>
    <w:rsid w:val="002C25F0"/>
    <w:rsid w:val="002C26E5"/>
    <w:rsid w:val="002C2922"/>
    <w:rsid w:val="002C30A5"/>
    <w:rsid w:val="002C32E4"/>
    <w:rsid w:val="002C3641"/>
    <w:rsid w:val="002C3653"/>
    <w:rsid w:val="002C369C"/>
    <w:rsid w:val="002C39B1"/>
    <w:rsid w:val="002C3DF7"/>
    <w:rsid w:val="002C3FBF"/>
    <w:rsid w:val="002C419E"/>
    <w:rsid w:val="002C4287"/>
    <w:rsid w:val="002C44BC"/>
    <w:rsid w:val="002C4530"/>
    <w:rsid w:val="002C46FF"/>
    <w:rsid w:val="002C49A1"/>
    <w:rsid w:val="002C4A6D"/>
    <w:rsid w:val="002C53E8"/>
    <w:rsid w:val="002C55DE"/>
    <w:rsid w:val="002C5CAF"/>
    <w:rsid w:val="002C6691"/>
    <w:rsid w:val="002C6736"/>
    <w:rsid w:val="002C67D5"/>
    <w:rsid w:val="002C6D45"/>
    <w:rsid w:val="002C6F05"/>
    <w:rsid w:val="002C6F32"/>
    <w:rsid w:val="002C7094"/>
    <w:rsid w:val="002C7577"/>
    <w:rsid w:val="002C7CEA"/>
    <w:rsid w:val="002D0022"/>
    <w:rsid w:val="002D01C4"/>
    <w:rsid w:val="002D0507"/>
    <w:rsid w:val="002D0681"/>
    <w:rsid w:val="002D0C94"/>
    <w:rsid w:val="002D0FC1"/>
    <w:rsid w:val="002D1BD4"/>
    <w:rsid w:val="002D1E79"/>
    <w:rsid w:val="002D1F5D"/>
    <w:rsid w:val="002D21DE"/>
    <w:rsid w:val="002D2697"/>
    <w:rsid w:val="002D2E6C"/>
    <w:rsid w:val="002D329D"/>
    <w:rsid w:val="002D334B"/>
    <w:rsid w:val="002D35B5"/>
    <w:rsid w:val="002D372C"/>
    <w:rsid w:val="002D3FAF"/>
    <w:rsid w:val="002D42C4"/>
    <w:rsid w:val="002D495F"/>
    <w:rsid w:val="002D4C84"/>
    <w:rsid w:val="002D55D6"/>
    <w:rsid w:val="002D55EB"/>
    <w:rsid w:val="002D567D"/>
    <w:rsid w:val="002D5784"/>
    <w:rsid w:val="002D5CD8"/>
    <w:rsid w:val="002D5E9C"/>
    <w:rsid w:val="002D612D"/>
    <w:rsid w:val="002D6EA8"/>
    <w:rsid w:val="002D7013"/>
    <w:rsid w:val="002D71CD"/>
    <w:rsid w:val="002D75DF"/>
    <w:rsid w:val="002D793F"/>
    <w:rsid w:val="002D7D10"/>
    <w:rsid w:val="002E0159"/>
    <w:rsid w:val="002E026D"/>
    <w:rsid w:val="002E0BD4"/>
    <w:rsid w:val="002E0E86"/>
    <w:rsid w:val="002E0FB6"/>
    <w:rsid w:val="002E128D"/>
    <w:rsid w:val="002E1338"/>
    <w:rsid w:val="002E1661"/>
    <w:rsid w:val="002E16C9"/>
    <w:rsid w:val="002E181B"/>
    <w:rsid w:val="002E1920"/>
    <w:rsid w:val="002E1942"/>
    <w:rsid w:val="002E19C3"/>
    <w:rsid w:val="002E1D55"/>
    <w:rsid w:val="002E1E0A"/>
    <w:rsid w:val="002E2093"/>
    <w:rsid w:val="002E247C"/>
    <w:rsid w:val="002E273B"/>
    <w:rsid w:val="002E27F1"/>
    <w:rsid w:val="002E315E"/>
    <w:rsid w:val="002E3413"/>
    <w:rsid w:val="002E347F"/>
    <w:rsid w:val="002E3482"/>
    <w:rsid w:val="002E35C4"/>
    <w:rsid w:val="002E3DA5"/>
    <w:rsid w:val="002E41A1"/>
    <w:rsid w:val="002E4599"/>
    <w:rsid w:val="002E4817"/>
    <w:rsid w:val="002E4A1B"/>
    <w:rsid w:val="002E539C"/>
    <w:rsid w:val="002E549F"/>
    <w:rsid w:val="002E5C42"/>
    <w:rsid w:val="002E5C4F"/>
    <w:rsid w:val="002E5F51"/>
    <w:rsid w:val="002E62BA"/>
    <w:rsid w:val="002E666B"/>
    <w:rsid w:val="002E67F9"/>
    <w:rsid w:val="002E69C3"/>
    <w:rsid w:val="002E73AB"/>
    <w:rsid w:val="002E79A5"/>
    <w:rsid w:val="002E7A4D"/>
    <w:rsid w:val="002E7C8E"/>
    <w:rsid w:val="002E7CA5"/>
    <w:rsid w:val="002F0623"/>
    <w:rsid w:val="002F0A15"/>
    <w:rsid w:val="002F0B16"/>
    <w:rsid w:val="002F13CD"/>
    <w:rsid w:val="002F13E5"/>
    <w:rsid w:val="002F153F"/>
    <w:rsid w:val="002F1DA3"/>
    <w:rsid w:val="002F2589"/>
    <w:rsid w:val="002F2722"/>
    <w:rsid w:val="002F2F59"/>
    <w:rsid w:val="002F2FB8"/>
    <w:rsid w:val="002F3078"/>
    <w:rsid w:val="002F3262"/>
    <w:rsid w:val="002F3346"/>
    <w:rsid w:val="002F3382"/>
    <w:rsid w:val="002F3BA3"/>
    <w:rsid w:val="002F3D30"/>
    <w:rsid w:val="002F3F36"/>
    <w:rsid w:val="002F3F99"/>
    <w:rsid w:val="002F4121"/>
    <w:rsid w:val="002F4418"/>
    <w:rsid w:val="002F44D9"/>
    <w:rsid w:val="002F4B51"/>
    <w:rsid w:val="002F51DB"/>
    <w:rsid w:val="002F582A"/>
    <w:rsid w:val="002F60AE"/>
    <w:rsid w:val="002F6152"/>
    <w:rsid w:val="002F6693"/>
    <w:rsid w:val="002F696B"/>
    <w:rsid w:val="002F6ADF"/>
    <w:rsid w:val="002F6BD9"/>
    <w:rsid w:val="002F6EE8"/>
    <w:rsid w:val="002F71BC"/>
    <w:rsid w:val="002F74D9"/>
    <w:rsid w:val="003001D2"/>
    <w:rsid w:val="0030063F"/>
    <w:rsid w:val="00300991"/>
    <w:rsid w:val="00300B2F"/>
    <w:rsid w:val="0030106A"/>
    <w:rsid w:val="003011BC"/>
    <w:rsid w:val="0030158F"/>
    <w:rsid w:val="00301A88"/>
    <w:rsid w:val="00302119"/>
    <w:rsid w:val="003022A4"/>
    <w:rsid w:val="00302583"/>
    <w:rsid w:val="00302952"/>
    <w:rsid w:val="00302B76"/>
    <w:rsid w:val="00302BD9"/>
    <w:rsid w:val="00302CC7"/>
    <w:rsid w:val="00303479"/>
    <w:rsid w:val="0030358A"/>
    <w:rsid w:val="0030386F"/>
    <w:rsid w:val="00303B86"/>
    <w:rsid w:val="00304B8D"/>
    <w:rsid w:val="00304BA7"/>
    <w:rsid w:val="00304BB4"/>
    <w:rsid w:val="003054A2"/>
    <w:rsid w:val="00305662"/>
    <w:rsid w:val="003058EB"/>
    <w:rsid w:val="00305A50"/>
    <w:rsid w:val="00305A63"/>
    <w:rsid w:val="00305D85"/>
    <w:rsid w:val="00305F5A"/>
    <w:rsid w:val="0030614A"/>
    <w:rsid w:val="003062D3"/>
    <w:rsid w:val="003062F3"/>
    <w:rsid w:val="003064CC"/>
    <w:rsid w:val="00306635"/>
    <w:rsid w:val="00306784"/>
    <w:rsid w:val="00306799"/>
    <w:rsid w:val="003068DD"/>
    <w:rsid w:val="00306DE3"/>
    <w:rsid w:val="00306E5A"/>
    <w:rsid w:val="00307125"/>
    <w:rsid w:val="00307137"/>
    <w:rsid w:val="003072CB"/>
    <w:rsid w:val="003100AC"/>
    <w:rsid w:val="003108C1"/>
    <w:rsid w:val="00310D43"/>
    <w:rsid w:val="00310F0E"/>
    <w:rsid w:val="0031136E"/>
    <w:rsid w:val="00311624"/>
    <w:rsid w:val="00311710"/>
    <w:rsid w:val="00311CBD"/>
    <w:rsid w:val="0031212D"/>
    <w:rsid w:val="00312228"/>
    <w:rsid w:val="0031269A"/>
    <w:rsid w:val="00312B06"/>
    <w:rsid w:val="00313269"/>
    <w:rsid w:val="00313470"/>
    <w:rsid w:val="00313AD4"/>
    <w:rsid w:val="00313AF6"/>
    <w:rsid w:val="00313B16"/>
    <w:rsid w:val="00313D3F"/>
    <w:rsid w:val="00313D81"/>
    <w:rsid w:val="00313DAF"/>
    <w:rsid w:val="003140C0"/>
    <w:rsid w:val="00314187"/>
    <w:rsid w:val="0031436A"/>
    <w:rsid w:val="0031479B"/>
    <w:rsid w:val="003147B2"/>
    <w:rsid w:val="00314B6F"/>
    <w:rsid w:val="00314CBC"/>
    <w:rsid w:val="00314D55"/>
    <w:rsid w:val="00314DF5"/>
    <w:rsid w:val="003154EE"/>
    <w:rsid w:val="00315932"/>
    <w:rsid w:val="0031615E"/>
    <w:rsid w:val="00316279"/>
    <w:rsid w:val="003166C9"/>
    <w:rsid w:val="00316878"/>
    <w:rsid w:val="00316971"/>
    <w:rsid w:val="00316D5A"/>
    <w:rsid w:val="00316DFA"/>
    <w:rsid w:val="00316EC5"/>
    <w:rsid w:val="00317181"/>
    <w:rsid w:val="0031735B"/>
    <w:rsid w:val="00317395"/>
    <w:rsid w:val="003174C4"/>
    <w:rsid w:val="003175BC"/>
    <w:rsid w:val="00317624"/>
    <w:rsid w:val="003176DE"/>
    <w:rsid w:val="0031773B"/>
    <w:rsid w:val="0031783B"/>
    <w:rsid w:val="003178D5"/>
    <w:rsid w:val="00317A1D"/>
    <w:rsid w:val="00317A9F"/>
    <w:rsid w:val="00317AE7"/>
    <w:rsid w:val="00317AF8"/>
    <w:rsid w:val="00317BE4"/>
    <w:rsid w:val="00317FA3"/>
    <w:rsid w:val="00320265"/>
    <w:rsid w:val="00320560"/>
    <w:rsid w:val="00320684"/>
    <w:rsid w:val="0032073B"/>
    <w:rsid w:val="003208E1"/>
    <w:rsid w:val="00320C04"/>
    <w:rsid w:val="00320E94"/>
    <w:rsid w:val="00320EAC"/>
    <w:rsid w:val="00321547"/>
    <w:rsid w:val="0032182D"/>
    <w:rsid w:val="00321996"/>
    <w:rsid w:val="00321B58"/>
    <w:rsid w:val="00321C07"/>
    <w:rsid w:val="00321F17"/>
    <w:rsid w:val="00321FB3"/>
    <w:rsid w:val="00322090"/>
    <w:rsid w:val="00322145"/>
    <w:rsid w:val="00322278"/>
    <w:rsid w:val="00322512"/>
    <w:rsid w:val="003227C0"/>
    <w:rsid w:val="00322A19"/>
    <w:rsid w:val="00322A52"/>
    <w:rsid w:val="00323291"/>
    <w:rsid w:val="003237F6"/>
    <w:rsid w:val="00323907"/>
    <w:rsid w:val="00323A79"/>
    <w:rsid w:val="00323B74"/>
    <w:rsid w:val="00324053"/>
    <w:rsid w:val="00324106"/>
    <w:rsid w:val="00324178"/>
    <w:rsid w:val="003244BB"/>
    <w:rsid w:val="00324549"/>
    <w:rsid w:val="00324565"/>
    <w:rsid w:val="0032457B"/>
    <w:rsid w:val="00324A2F"/>
    <w:rsid w:val="00324FA9"/>
    <w:rsid w:val="003258DE"/>
    <w:rsid w:val="00325BC1"/>
    <w:rsid w:val="00325FE4"/>
    <w:rsid w:val="00326099"/>
    <w:rsid w:val="003260CA"/>
    <w:rsid w:val="0032626D"/>
    <w:rsid w:val="00326459"/>
    <w:rsid w:val="003265EF"/>
    <w:rsid w:val="00326BC6"/>
    <w:rsid w:val="00326CFE"/>
    <w:rsid w:val="00326EF1"/>
    <w:rsid w:val="003270AF"/>
    <w:rsid w:val="003271B4"/>
    <w:rsid w:val="00327339"/>
    <w:rsid w:val="00327529"/>
    <w:rsid w:val="003277E8"/>
    <w:rsid w:val="003278CD"/>
    <w:rsid w:val="00327919"/>
    <w:rsid w:val="00327E3A"/>
    <w:rsid w:val="00327E55"/>
    <w:rsid w:val="0033002A"/>
    <w:rsid w:val="003302D8"/>
    <w:rsid w:val="00330543"/>
    <w:rsid w:val="003306D1"/>
    <w:rsid w:val="00330759"/>
    <w:rsid w:val="0033095D"/>
    <w:rsid w:val="00330AED"/>
    <w:rsid w:val="00330C7C"/>
    <w:rsid w:val="00330F17"/>
    <w:rsid w:val="00331427"/>
    <w:rsid w:val="0033153B"/>
    <w:rsid w:val="00331814"/>
    <w:rsid w:val="003318D8"/>
    <w:rsid w:val="0033253B"/>
    <w:rsid w:val="0033280D"/>
    <w:rsid w:val="00332980"/>
    <w:rsid w:val="00332F6F"/>
    <w:rsid w:val="003332B7"/>
    <w:rsid w:val="003332EE"/>
    <w:rsid w:val="0033333A"/>
    <w:rsid w:val="00333800"/>
    <w:rsid w:val="00333C1E"/>
    <w:rsid w:val="00333C9B"/>
    <w:rsid w:val="00333CA5"/>
    <w:rsid w:val="00333E8C"/>
    <w:rsid w:val="00334392"/>
    <w:rsid w:val="0033455D"/>
    <w:rsid w:val="00335388"/>
    <w:rsid w:val="00335415"/>
    <w:rsid w:val="00335594"/>
    <w:rsid w:val="003355BC"/>
    <w:rsid w:val="00335639"/>
    <w:rsid w:val="003358F0"/>
    <w:rsid w:val="0033596B"/>
    <w:rsid w:val="00335D9D"/>
    <w:rsid w:val="0033602E"/>
    <w:rsid w:val="0033632D"/>
    <w:rsid w:val="003364BC"/>
    <w:rsid w:val="003365B5"/>
    <w:rsid w:val="003368B5"/>
    <w:rsid w:val="00336B30"/>
    <w:rsid w:val="003372CB"/>
    <w:rsid w:val="0033731E"/>
    <w:rsid w:val="003375EA"/>
    <w:rsid w:val="00337CB2"/>
    <w:rsid w:val="0034004E"/>
    <w:rsid w:val="003400A6"/>
    <w:rsid w:val="0034064B"/>
    <w:rsid w:val="003407CC"/>
    <w:rsid w:val="00340812"/>
    <w:rsid w:val="00340C0F"/>
    <w:rsid w:val="00340C2A"/>
    <w:rsid w:val="00340F43"/>
    <w:rsid w:val="00340FFC"/>
    <w:rsid w:val="003412DC"/>
    <w:rsid w:val="003413B4"/>
    <w:rsid w:val="00341593"/>
    <w:rsid w:val="00341B6B"/>
    <w:rsid w:val="00341ED2"/>
    <w:rsid w:val="00342957"/>
    <w:rsid w:val="00342B3F"/>
    <w:rsid w:val="00342B77"/>
    <w:rsid w:val="00342D56"/>
    <w:rsid w:val="00343008"/>
    <w:rsid w:val="00343143"/>
    <w:rsid w:val="00343AF6"/>
    <w:rsid w:val="00343B49"/>
    <w:rsid w:val="00343C46"/>
    <w:rsid w:val="00344008"/>
    <w:rsid w:val="00344053"/>
    <w:rsid w:val="00344254"/>
    <w:rsid w:val="00345148"/>
    <w:rsid w:val="00345307"/>
    <w:rsid w:val="00345321"/>
    <w:rsid w:val="00345D12"/>
    <w:rsid w:val="00346154"/>
    <w:rsid w:val="003465E0"/>
    <w:rsid w:val="0034660A"/>
    <w:rsid w:val="0034664A"/>
    <w:rsid w:val="00346F37"/>
    <w:rsid w:val="0034729D"/>
    <w:rsid w:val="00347429"/>
    <w:rsid w:val="00347577"/>
    <w:rsid w:val="00347951"/>
    <w:rsid w:val="00347F3E"/>
    <w:rsid w:val="00350242"/>
    <w:rsid w:val="0035024C"/>
    <w:rsid w:val="003504FF"/>
    <w:rsid w:val="0035063B"/>
    <w:rsid w:val="00350767"/>
    <w:rsid w:val="00350BD0"/>
    <w:rsid w:val="00350DD3"/>
    <w:rsid w:val="00350FBB"/>
    <w:rsid w:val="00351095"/>
    <w:rsid w:val="0035176A"/>
    <w:rsid w:val="00351A66"/>
    <w:rsid w:val="00351A7F"/>
    <w:rsid w:val="00351EFF"/>
    <w:rsid w:val="0035211D"/>
    <w:rsid w:val="00352165"/>
    <w:rsid w:val="0035216A"/>
    <w:rsid w:val="00352548"/>
    <w:rsid w:val="0035274A"/>
    <w:rsid w:val="003527B2"/>
    <w:rsid w:val="0035288D"/>
    <w:rsid w:val="00352A92"/>
    <w:rsid w:val="00353092"/>
    <w:rsid w:val="0035387A"/>
    <w:rsid w:val="00353CDC"/>
    <w:rsid w:val="00353D27"/>
    <w:rsid w:val="00353D74"/>
    <w:rsid w:val="003542B9"/>
    <w:rsid w:val="003543CC"/>
    <w:rsid w:val="00354636"/>
    <w:rsid w:val="00354CD3"/>
    <w:rsid w:val="00354D6A"/>
    <w:rsid w:val="00354ED7"/>
    <w:rsid w:val="0035527F"/>
    <w:rsid w:val="00355375"/>
    <w:rsid w:val="003555A0"/>
    <w:rsid w:val="003555AB"/>
    <w:rsid w:val="003557E2"/>
    <w:rsid w:val="00355D8F"/>
    <w:rsid w:val="00355F91"/>
    <w:rsid w:val="00356125"/>
    <w:rsid w:val="0035626C"/>
    <w:rsid w:val="00356407"/>
    <w:rsid w:val="003567E2"/>
    <w:rsid w:val="00356847"/>
    <w:rsid w:val="00356A24"/>
    <w:rsid w:val="003573B8"/>
    <w:rsid w:val="0035756F"/>
    <w:rsid w:val="003579EF"/>
    <w:rsid w:val="00357BC7"/>
    <w:rsid w:val="00357C44"/>
    <w:rsid w:val="003600B6"/>
    <w:rsid w:val="00360633"/>
    <w:rsid w:val="003607E4"/>
    <w:rsid w:val="00360FFD"/>
    <w:rsid w:val="00361CAF"/>
    <w:rsid w:val="0036211E"/>
    <w:rsid w:val="003621B2"/>
    <w:rsid w:val="003624EB"/>
    <w:rsid w:val="00362B1A"/>
    <w:rsid w:val="00362CCF"/>
    <w:rsid w:val="00362D05"/>
    <w:rsid w:val="00362E0D"/>
    <w:rsid w:val="0036327A"/>
    <w:rsid w:val="003639A3"/>
    <w:rsid w:val="00363D5E"/>
    <w:rsid w:val="00363F94"/>
    <w:rsid w:val="003640E2"/>
    <w:rsid w:val="00364143"/>
    <w:rsid w:val="00364173"/>
    <w:rsid w:val="003642CC"/>
    <w:rsid w:val="00364864"/>
    <w:rsid w:val="00364954"/>
    <w:rsid w:val="00364DCD"/>
    <w:rsid w:val="00365242"/>
    <w:rsid w:val="00365A6B"/>
    <w:rsid w:val="00365B0B"/>
    <w:rsid w:val="00365B7A"/>
    <w:rsid w:val="00365BFE"/>
    <w:rsid w:val="00366148"/>
    <w:rsid w:val="0036645D"/>
    <w:rsid w:val="003667CA"/>
    <w:rsid w:val="00366D70"/>
    <w:rsid w:val="00367377"/>
    <w:rsid w:val="003674F3"/>
    <w:rsid w:val="00367C17"/>
    <w:rsid w:val="003702F9"/>
    <w:rsid w:val="00370446"/>
    <w:rsid w:val="0037073D"/>
    <w:rsid w:val="00370AEB"/>
    <w:rsid w:val="003711AB"/>
    <w:rsid w:val="0037183E"/>
    <w:rsid w:val="00371EFB"/>
    <w:rsid w:val="00372120"/>
    <w:rsid w:val="0037224E"/>
    <w:rsid w:val="0037273D"/>
    <w:rsid w:val="00372A0C"/>
    <w:rsid w:val="00372B89"/>
    <w:rsid w:val="0037303A"/>
    <w:rsid w:val="0037311F"/>
    <w:rsid w:val="00373432"/>
    <w:rsid w:val="0037380F"/>
    <w:rsid w:val="00373AA3"/>
    <w:rsid w:val="00373AB2"/>
    <w:rsid w:val="00373C24"/>
    <w:rsid w:val="00373F85"/>
    <w:rsid w:val="00374019"/>
    <w:rsid w:val="00374039"/>
    <w:rsid w:val="00374471"/>
    <w:rsid w:val="00374974"/>
    <w:rsid w:val="00374E8F"/>
    <w:rsid w:val="00374EFF"/>
    <w:rsid w:val="003755FB"/>
    <w:rsid w:val="00375734"/>
    <w:rsid w:val="003757A1"/>
    <w:rsid w:val="00375872"/>
    <w:rsid w:val="00375A12"/>
    <w:rsid w:val="00375B5A"/>
    <w:rsid w:val="00375C63"/>
    <w:rsid w:val="00375E0B"/>
    <w:rsid w:val="00375EC2"/>
    <w:rsid w:val="00376253"/>
    <w:rsid w:val="00376306"/>
    <w:rsid w:val="003764B7"/>
    <w:rsid w:val="0037654B"/>
    <w:rsid w:val="003765D1"/>
    <w:rsid w:val="00376881"/>
    <w:rsid w:val="0037689A"/>
    <w:rsid w:val="00376B00"/>
    <w:rsid w:val="00376B0F"/>
    <w:rsid w:val="00376F97"/>
    <w:rsid w:val="00377380"/>
    <w:rsid w:val="003774B0"/>
    <w:rsid w:val="0037761E"/>
    <w:rsid w:val="00377885"/>
    <w:rsid w:val="0037792E"/>
    <w:rsid w:val="00377AF4"/>
    <w:rsid w:val="00377C2F"/>
    <w:rsid w:val="00377E6C"/>
    <w:rsid w:val="00377F58"/>
    <w:rsid w:val="00377F79"/>
    <w:rsid w:val="0038001C"/>
    <w:rsid w:val="00380A98"/>
    <w:rsid w:val="00380E4C"/>
    <w:rsid w:val="00380E79"/>
    <w:rsid w:val="00381072"/>
    <w:rsid w:val="003813AB"/>
    <w:rsid w:val="003817A2"/>
    <w:rsid w:val="0038202A"/>
    <w:rsid w:val="00382072"/>
    <w:rsid w:val="00382560"/>
    <w:rsid w:val="0038261A"/>
    <w:rsid w:val="003833C4"/>
    <w:rsid w:val="00383534"/>
    <w:rsid w:val="00383585"/>
    <w:rsid w:val="003835A5"/>
    <w:rsid w:val="003837E5"/>
    <w:rsid w:val="0038388E"/>
    <w:rsid w:val="00383E62"/>
    <w:rsid w:val="00384067"/>
    <w:rsid w:val="00384071"/>
    <w:rsid w:val="003842C7"/>
    <w:rsid w:val="003843CA"/>
    <w:rsid w:val="00384728"/>
    <w:rsid w:val="00384765"/>
    <w:rsid w:val="003847B5"/>
    <w:rsid w:val="00384BE4"/>
    <w:rsid w:val="00384D9A"/>
    <w:rsid w:val="00385024"/>
    <w:rsid w:val="00385329"/>
    <w:rsid w:val="00385578"/>
    <w:rsid w:val="003855DA"/>
    <w:rsid w:val="00385742"/>
    <w:rsid w:val="00385981"/>
    <w:rsid w:val="00385C57"/>
    <w:rsid w:val="00385DDD"/>
    <w:rsid w:val="00385E15"/>
    <w:rsid w:val="00385EC4"/>
    <w:rsid w:val="00385F3A"/>
    <w:rsid w:val="00385F8B"/>
    <w:rsid w:val="0038612C"/>
    <w:rsid w:val="003867BD"/>
    <w:rsid w:val="00386C2C"/>
    <w:rsid w:val="00386F24"/>
    <w:rsid w:val="00387001"/>
    <w:rsid w:val="003872B1"/>
    <w:rsid w:val="00387408"/>
    <w:rsid w:val="0038743E"/>
    <w:rsid w:val="003876F5"/>
    <w:rsid w:val="003879E7"/>
    <w:rsid w:val="00387D0F"/>
    <w:rsid w:val="00390361"/>
    <w:rsid w:val="00390587"/>
    <w:rsid w:val="00390E60"/>
    <w:rsid w:val="0039120A"/>
    <w:rsid w:val="003912C5"/>
    <w:rsid w:val="00391397"/>
    <w:rsid w:val="00391D60"/>
    <w:rsid w:val="00392253"/>
    <w:rsid w:val="003922DD"/>
    <w:rsid w:val="00392304"/>
    <w:rsid w:val="003924AD"/>
    <w:rsid w:val="00392529"/>
    <w:rsid w:val="0039256F"/>
    <w:rsid w:val="00392690"/>
    <w:rsid w:val="0039313C"/>
    <w:rsid w:val="0039314F"/>
    <w:rsid w:val="0039323C"/>
    <w:rsid w:val="00393B6C"/>
    <w:rsid w:val="00393F0F"/>
    <w:rsid w:val="00393F81"/>
    <w:rsid w:val="003942A9"/>
    <w:rsid w:val="00394466"/>
    <w:rsid w:val="003947AC"/>
    <w:rsid w:val="003950D8"/>
    <w:rsid w:val="003955EC"/>
    <w:rsid w:val="00395616"/>
    <w:rsid w:val="003956EC"/>
    <w:rsid w:val="00395B6E"/>
    <w:rsid w:val="00395CA8"/>
    <w:rsid w:val="00395E23"/>
    <w:rsid w:val="00396520"/>
    <w:rsid w:val="003967F2"/>
    <w:rsid w:val="00396BB0"/>
    <w:rsid w:val="0039729F"/>
    <w:rsid w:val="0039792C"/>
    <w:rsid w:val="00397A13"/>
    <w:rsid w:val="00397A31"/>
    <w:rsid w:val="00397A46"/>
    <w:rsid w:val="00397BEE"/>
    <w:rsid w:val="00397C95"/>
    <w:rsid w:val="00397DF8"/>
    <w:rsid w:val="00397EBE"/>
    <w:rsid w:val="003A04DD"/>
    <w:rsid w:val="003A0A81"/>
    <w:rsid w:val="003A0A8D"/>
    <w:rsid w:val="003A0DA7"/>
    <w:rsid w:val="003A1224"/>
    <w:rsid w:val="003A185E"/>
    <w:rsid w:val="003A2456"/>
    <w:rsid w:val="003A29F9"/>
    <w:rsid w:val="003A2B53"/>
    <w:rsid w:val="003A33C4"/>
    <w:rsid w:val="003A34E8"/>
    <w:rsid w:val="003A3572"/>
    <w:rsid w:val="003A363F"/>
    <w:rsid w:val="003A36DC"/>
    <w:rsid w:val="003A3E39"/>
    <w:rsid w:val="003A43A5"/>
    <w:rsid w:val="003A44DD"/>
    <w:rsid w:val="003A450D"/>
    <w:rsid w:val="003A454A"/>
    <w:rsid w:val="003A4D35"/>
    <w:rsid w:val="003A4E6B"/>
    <w:rsid w:val="003A50B7"/>
    <w:rsid w:val="003A5603"/>
    <w:rsid w:val="003A5B31"/>
    <w:rsid w:val="003A5C81"/>
    <w:rsid w:val="003A5FAC"/>
    <w:rsid w:val="003A6169"/>
    <w:rsid w:val="003A62D4"/>
    <w:rsid w:val="003A6561"/>
    <w:rsid w:val="003A661A"/>
    <w:rsid w:val="003A734A"/>
    <w:rsid w:val="003A736E"/>
    <w:rsid w:val="003A7634"/>
    <w:rsid w:val="003A7661"/>
    <w:rsid w:val="003A78A6"/>
    <w:rsid w:val="003A7A66"/>
    <w:rsid w:val="003A7F53"/>
    <w:rsid w:val="003A7FCB"/>
    <w:rsid w:val="003B08CD"/>
    <w:rsid w:val="003B098D"/>
    <w:rsid w:val="003B0AFF"/>
    <w:rsid w:val="003B0B3E"/>
    <w:rsid w:val="003B0B4A"/>
    <w:rsid w:val="003B0BED"/>
    <w:rsid w:val="003B125F"/>
    <w:rsid w:val="003B14B8"/>
    <w:rsid w:val="003B14FC"/>
    <w:rsid w:val="003B15A4"/>
    <w:rsid w:val="003B1633"/>
    <w:rsid w:val="003B1942"/>
    <w:rsid w:val="003B1B5E"/>
    <w:rsid w:val="003B22DE"/>
    <w:rsid w:val="003B2BD6"/>
    <w:rsid w:val="003B2BF7"/>
    <w:rsid w:val="003B3391"/>
    <w:rsid w:val="003B346E"/>
    <w:rsid w:val="003B34DF"/>
    <w:rsid w:val="003B3694"/>
    <w:rsid w:val="003B37C8"/>
    <w:rsid w:val="003B3AEF"/>
    <w:rsid w:val="003B3CB0"/>
    <w:rsid w:val="003B41A9"/>
    <w:rsid w:val="003B469A"/>
    <w:rsid w:val="003B4832"/>
    <w:rsid w:val="003B4C90"/>
    <w:rsid w:val="003B4F4C"/>
    <w:rsid w:val="003B50E5"/>
    <w:rsid w:val="003B5179"/>
    <w:rsid w:val="003B522F"/>
    <w:rsid w:val="003B5770"/>
    <w:rsid w:val="003B63CC"/>
    <w:rsid w:val="003B674D"/>
    <w:rsid w:val="003B7021"/>
    <w:rsid w:val="003B7487"/>
    <w:rsid w:val="003B7864"/>
    <w:rsid w:val="003C0131"/>
    <w:rsid w:val="003C022F"/>
    <w:rsid w:val="003C0637"/>
    <w:rsid w:val="003C06D9"/>
    <w:rsid w:val="003C0811"/>
    <w:rsid w:val="003C0AA5"/>
    <w:rsid w:val="003C0BE5"/>
    <w:rsid w:val="003C0D34"/>
    <w:rsid w:val="003C0F7A"/>
    <w:rsid w:val="003C0F97"/>
    <w:rsid w:val="003C1420"/>
    <w:rsid w:val="003C145F"/>
    <w:rsid w:val="003C1811"/>
    <w:rsid w:val="003C19A5"/>
    <w:rsid w:val="003C1C3D"/>
    <w:rsid w:val="003C207D"/>
    <w:rsid w:val="003C22DD"/>
    <w:rsid w:val="003C24D1"/>
    <w:rsid w:val="003C2558"/>
    <w:rsid w:val="003C263F"/>
    <w:rsid w:val="003C268E"/>
    <w:rsid w:val="003C2783"/>
    <w:rsid w:val="003C28E1"/>
    <w:rsid w:val="003C2902"/>
    <w:rsid w:val="003C2966"/>
    <w:rsid w:val="003C3036"/>
    <w:rsid w:val="003C340C"/>
    <w:rsid w:val="003C34C5"/>
    <w:rsid w:val="003C3505"/>
    <w:rsid w:val="003C3CD6"/>
    <w:rsid w:val="003C40F3"/>
    <w:rsid w:val="003C4333"/>
    <w:rsid w:val="003C465A"/>
    <w:rsid w:val="003C486C"/>
    <w:rsid w:val="003C4CA7"/>
    <w:rsid w:val="003C4CA8"/>
    <w:rsid w:val="003C4CFE"/>
    <w:rsid w:val="003C54B9"/>
    <w:rsid w:val="003C5504"/>
    <w:rsid w:val="003C554B"/>
    <w:rsid w:val="003C5D02"/>
    <w:rsid w:val="003C5FD7"/>
    <w:rsid w:val="003C63AC"/>
    <w:rsid w:val="003C63BA"/>
    <w:rsid w:val="003C6844"/>
    <w:rsid w:val="003C6AB5"/>
    <w:rsid w:val="003C6B1A"/>
    <w:rsid w:val="003C6B26"/>
    <w:rsid w:val="003C7408"/>
    <w:rsid w:val="003C743F"/>
    <w:rsid w:val="003C7467"/>
    <w:rsid w:val="003C7AC4"/>
    <w:rsid w:val="003C7C2B"/>
    <w:rsid w:val="003C7CA0"/>
    <w:rsid w:val="003C7DB9"/>
    <w:rsid w:val="003D0013"/>
    <w:rsid w:val="003D0508"/>
    <w:rsid w:val="003D0E00"/>
    <w:rsid w:val="003D0FEF"/>
    <w:rsid w:val="003D1205"/>
    <w:rsid w:val="003D18AB"/>
    <w:rsid w:val="003D1C1E"/>
    <w:rsid w:val="003D1CA5"/>
    <w:rsid w:val="003D21D7"/>
    <w:rsid w:val="003D2641"/>
    <w:rsid w:val="003D2864"/>
    <w:rsid w:val="003D2CFC"/>
    <w:rsid w:val="003D2D88"/>
    <w:rsid w:val="003D2FDA"/>
    <w:rsid w:val="003D3435"/>
    <w:rsid w:val="003D399E"/>
    <w:rsid w:val="003D3C0F"/>
    <w:rsid w:val="003D3FC2"/>
    <w:rsid w:val="003D403E"/>
    <w:rsid w:val="003D44EB"/>
    <w:rsid w:val="003D47D5"/>
    <w:rsid w:val="003D4AAD"/>
    <w:rsid w:val="003D4D65"/>
    <w:rsid w:val="003D4F8F"/>
    <w:rsid w:val="003D50A0"/>
    <w:rsid w:val="003D56A0"/>
    <w:rsid w:val="003D5726"/>
    <w:rsid w:val="003D5ECE"/>
    <w:rsid w:val="003D6159"/>
    <w:rsid w:val="003D66CB"/>
    <w:rsid w:val="003D692D"/>
    <w:rsid w:val="003D6B1C"/>
    <w:rsid w:val="003D6E90"/>
    <w:rsid w:val="003D7301"/>
    <w:rsid w:val="003D7D14"/>
    <w:rsid w:val="003D7FAA"/>
    <w:rsid w:val="003E0050"/>
    <w:rsid w:val="003E00FD"/>
    <w:rsid w:val="003E0597"/>
    <w:rsid w:val="003E0765"/>
    <w:rsid w:val="003E0941"/>
    <w:rsid w:val="003E09F7"/>
    <w:rsid w:val="003E0E9C"/>
    <w:rsid w:val="003E0EED"/>
    <w:rsid w:val="003E1040"/>
    <w:rsid w:val="003E114D"/>
    <w:rsid w:val="003E15A4"/>
    <w:rsid w:val="003E1729"/>
    <w:rsid w:val="003E1928"/>
    <w:rsid w:val="003E1ACA"/>
    <w:rsid w:val="003E1B36"/>
    <w:rsid w:val="003E1CD0"/>
    <w:rsid w:val="003E2B7D"/>
    <w:rsid w:val="003E2E0A"/>
    <w:rsid w:val="003E2F0A"/>
    <w:rsid w:val="003E318D"/>
    <w:rsid w:val="003E3473"/>
    <w:rsid w:val="003E360C"/>
    <w:rsid w:val="003E39EE"/>
    <w:rsid w:val="003E3A7F"/>
    <w:rsid w:val="003E4214"/>
    <w:rsid w:val="003E4272"/>
    <w:rsid w:val="003E4320"/>
    <w:rsid w:val="003E4D42"/>
    <w:rsid w:val="003E5508"/>
    <w:rsid w:val="003E5555"/>
    <w:rsid w:val="003E5669"/>
    <w:rsid w:val="003E5682"/>
    <w:rsid w:val="003E5809"/>
    <w:rsid w:val="003E593F"/>
    <w:rsid w:val="003E5A2F"/>
    <w:rsid w:val="003E6243"/>
    <w:rsid w:val="003E629D"/>
    <w:rsid w:val="003E62D4"/>
    <w:rsid w:val="003E645B"/>
    <w:rsid w:val="003E64BE"/>
    <w:rsid w:val="003E6564"/>
    <w:rsid w:val="003E6D08"/>
    <w:rsid w:val="003E6DA7"/>
    <w:rsid w:val="003E6DCA"/>
    <w:rsid w:val="003E7211"/>
    <w:rsid w:val="003E7312"/>
    <w:rsid w:val="003E7850"/>
    <w:rsid w:val="003E7C4B"/>
    <w:rsid w:val="003E7D62"/>
    <w:rsid w:val="003E7EC3"/>
    <w:rsid w:val="003E7ED0"/>
    <w:rsid w:val="003F0307"/>
    <w:rsid w:val="003F047D"/>
    <w:rsid w:val="003F051D"/>
    <w:rsid w:val="003F07C9"/>
    <w:rsid w:val="003F08E5"/>
    <w:rsid w:val="003F0922"/>
    <w:rsid w:val="003F096D"/>
    <w:rsid w:val="003F1060"/>
    <w:rsid w:val="003F113D"/>
    <w:rsid w:val="003F1260"/>
    <w:rsid w:val="003F138B"/>
    <w:rsid w:val="003F14C4"/>
    <w:rsid w:val="003F1580"/>
    <w:rsid w:val="003F173F"/>
    <w:rsid w:val="003F2302"/>
    <w:rsid w:val="003F287C"/>
    <w:rsid w:val="003F29DD"/>
    <w:rsid w:val="003F37A9"/>
    <w:rsid w:val="003F3D39"/>
    <w:rsid w:val="003F3E4F"/>
    <w:rsid w:val="003F412F"/>
    <w:rsid w:val="003F4154"/>
    <w:rsid w:val="003F425B"/>
    <w:rsid w:val="003F42C9"/>
    <w:rsid w:val="003F4ADE"/>
    <w:rsid w:val="003F4FF9"/>
    <w:rsid w:val="003F504A"/>
    <w:rsid w:val="003F530F"/>
    <w:rsid w:val="003F53BC"/>
    <w:rsid w:val="003F5952"/>
    <w:rsid w:val="003F596A"/>
    <w:rsid w:val="003F5BA2"/>
    <w:rsid w:val="003F686E"/>
    <w:rsid w:val="003F6B5D"/>
    <w:rsid w:val="003F7110"/>
    <w:rsid w:val="003F737D"/>
    <w:rsid w:val="003F7717"/>
    <w:rsid w:val="003F7B36"/>
    <w:rsid w:val="004001B3"/>
    <w:rsid w:val="00400C58"/>
    <w:rsid w:val="00400DDC"/>
    <w:rsid w:val="00400E65"/>
    <w:rsid w:val="00400E89"/>
    <w:rsid w:val="00401666"/>
    <w:rsid w:val="00401C78"/>
    <w:rsid w:val="00401EA9"/>
    <w:rsid w:val="0040256C"/>
    <w:rsid w:val="004026D0"/>
    <w:rsid w:val="00402E61"/>
    <w:rsid w:val="00402F4D"/>
    <w:rsid w:val="004032AE"/>
    <w:rsid w:val="0040338D"/>
    <w:rsid w:val="0040366C"/>
    <w:rsid w:val="00403876"/>
    <w:rsid w:val="00403B19"/>
    <w:rsid w:val="00403E88"/>
    <w:rsid w:val="00403E97"/>
    <w:rsid w:val="00403F02"/>
    <w:rsid w:val="0040425E"/>
    <w:rsid w:val="00404427"/>
    <w:rsid w:val="004047EF"/>
    <w:rsid w:val="00404993"/>
    <w:rsid w:val="0040512B"/>
    <w:rsid w:val="0040634E"/>
    <w:rsid w:val="00406600"/>
    <w:rsid w:val="0040675B"/>
    <w:rsid w:val="00406E17"/>
    <w:rsid w:val="0040739E"/>
    <w:rsid w:val="004078F0"/>
    <w:rsid w:val="00407970"/>
    <w:rsid w:val="00407BD5"/>
    <w:rsid w:val="00407EE8"/>
    <w:rsid w:val="00407F34"/>
    <w:rsid w:val="004104A3"/>
    <w:rsid w:val="00410570"/>
    <w:rsid w:val="00410A0C"/>
    <w:rsid w:val="00410AA4"/>
    <w:rsid w:val="004113B3"/>
    <w:rsid w:val="00411410"/>
    <w:rsid w:val="004118CA"/>
    <w:rsid w:val="00411962"/>
    <w:rsid w:val="00411C46"/>
    <w:rsid w:val="00411C5E"/>
    <w:rsid w:val="00411DF9"/>
    <w:rsid w:val="00411EAE"/>
    <w:rsid w:val="00411F78"/>
    <w:rsid w:val="00412390"/>
    <w:rsid w:val="004127D6"/>
    <w:rsid w:val="00412C23"/>
    <w:rsid w:val="0041322D"/>
    <w:rsid w:val="004134A9"/>
    <w:rsid w:val="00413C2F"/>
    <w:rsid w:val="00413DC2"/>
    <w:rsid w:val="00413E9D"/>
    <w:rsid w:val="00413EB1"/>
    <w:rsid w:val="004144F2"/>
    <w:rsid w:val="00414CC1"/>
    <w:rsid w:val="004153D5"/>
    <w:rsid w:val="00415508"/>
    <w:rsid w:val="00415737"/>
    <w:rsid w:val="00415B25"/>
    <w:rsid w:val="00415BA8"/>
    <w:rsid w:val="00416822"/>
    <w:rsid w:val="00416824"/>
    <w:rsid w:val="00416FDF"/>
    <w:rsid w:val="0041705E"/>
    <w:rsid w:val="00417473"/>
    <w:rsid w:val="0041757A"/>
    <w:rsid w:val="004175D4"/>
    <w:rsid w:val="0041773C"/>
    <w:rsid w:val="00417789"/>
    <w:rsid w:val="0041793A"/>
    <w:rsid w:val="00417AA8"/>
    <w:rsid w:val="00417DD4"/>
    <w:rsid w:val="00417ECE"/>
    <w:rsid w:val="004202E2"/>
    <w:rsid w:val="0042054E"/>
    <w:rsid w:val="004209EE"/>
    <w:rsid w:val="00420BCC"/>
    <w:rsid w:val="00420E5F"/>
    <w:rsid w:val="00421477"/>
    <w:rsid w:val="00421558"/>
    <w:rsid w:val="00421C3F"/>
    <w:rsid w:val="00421C8C"/>
    <w:rsid w:val="00421E65"/>
    <w:rsid w:val="004221E5"/>
    <w:rsid w:val="0042224E"/>
    <w:rsid w:val="004222C1"/>
    <w:rsid w:val="0042294A"/>
    <w:rsid w:val="004229DB"/>
    <w:rsid w:val="00422FFB"/>
    <w:rsid w:val="004230BC"/>
    <w:rsid w:val="00423268"/>
    <w:rsid w:val="00423764"/>
    <w:rsid w:val="00423931"/>
    <w:rsid w:val="00423C30"/>
    <w:rsid w:val="00423CED"/>
    <w:rsid w:val="0042403B"/>
    <w:rsid w:val="00424686"/>
    <w:rsid w:val="004246D0"/>
    <w:rsid w:val="00424C8D"/>
    <w:rsid w:val="00424E43"/>
    <w:rsid w:val="00425347"/>
    <w:rsid w:val="0042576D"/>
    <w:rsid w:val="004261A8"/>
    <w:rsid w:val="004262C8"/>
    <w:rsid w:val="004263B7"/>
    <w:rsid w:val="0042674C"/>
    <w:rsid w:val="004267DE"/>
    <w:rsid w:val="00426805"/>
    <w:rsid w:val="00426925"/>
    <w:rsid w:val="00426DBA"/>
    <w:rsid w:val="00426E7A"/>
    <w:rsid w:val="00426F52"/>
    <w:rsid w:val="00427522"/>
    <w:rsid w:val="00430039"/>
    <w:rsid w:val="0043006E"/>
    <w:rsid w:val="00430410"/>
    <w:rsid w:val="0043041C"/>
    <w:rsid w:val="004304B8"/>
    <w:rsid w:val="00430673"/>
    <w:rsid w:val="00430CA1"/>
    <w:rsid w:val="00430DC2"/>
    <w:rsid w:val="00430E9C"/>
    <w:rsid w:val="00430FE8"/>
    <w:rsid w:val="0043124E"/>
    <w:rsid w:val="00431699"/>
    <w:rsid w:val="004316CE"/>
    <w:rsid w:val="00431AE8"/>
    <w:rsid w:val="00431ED7"/>
    <w:rsid w:val="004321CF"/>
    <w:rsid w:val="00432592"/>
    <w:rsid w:val="004331DD"/>
    <w:rsid w:val="00433257"/>
    <w:rsid w:val="00433462"/>
    <w:rsid w:val="00433A42"/>
    <w:rsid w:val="00433B8E"/>
    <w:rsid w:val="0043416D"/>
    <w:rsid w:val="004344C2"/>
    <w:rsid w:val="004359CC"/>
    <w:rsid w:val="00435E25"/>
    <w:rsid w:val="00435FC5"/>
    <w:rsid w:val="004360BB"/>
    <w:rsid w:val="0043618D"/>
    <w:rsid w:val="0043619B"/>
    <w:rsid w:val="004367AE"/>
    <w:rsid w:val="004368D8"/>
    <w:rsid w:val="00436D73"/>
    <w:rsid w:val="00437296"/>
    <w:rsid w:val="004372AE"/>
    <w:rsid w:val="0043744B"/>
    <w:rsid w:val="0043759B"/>
    <w:rsid w:val="00437E15"/>
    <w:rsid w:val="00437FBB"/>
    <w:rsid w:val="004404B2"/>
    <w:rsid w:val="00440679"/>
    <w:rsid w:val="00440886"/>
    <w:rsid w:val="00441099"/>
    <w:rsid w:val="00441409"/>
    <w:rsid w:val="0044199C"/>
    <w:rsid w:val="00441A33"/>
    <w:rsid w:val="00441FFB"/>
    <w:rsid w:val="0044219C"/>
    <w:rsid w:val="004422C8"/>
    <w:rsid w:val="004429D2"/>
    <w:rsid w:val="00442ACE"/>
    <w:rsid w:val="00442AD5"/>
    <w:rsid w:val="00442B3A"/>
    <w:rsid w:val="00442C8E"/>
    <w:rsid w:val="00442E66"/>
    <w:rsid w:val="00443A53"/>
    <w:rsid w:val="00443A80"/>
    <w:rsid w:val="00443EA5"/>
    <w:rsid w:val="00443F9C"/>
    <w:rsid w:val="00444195"/>
    <w:rsid w:val="00444383"/>
    <w:rsid w:val="00444509"/>
    <w:rsid w:val="0044470B"/>
    <w:rsid w:val="00444D96"/>
    <w:rsid w:val="00445056"/>
    <w:rsid w:val="00445911"/>
    <w:rsid w:val="00445FD0"/>
    <w:rsid w:val="00446509"/>
    <w:rsid w:val="0044672D"/>
    <w:rsid w:val="00446FAC"/>
    <w:rsid w:val="004476C2"/>
    <w:rsid w:val="0045007B"/>
    <w:rsid w:val="00450386"/>
    <w:rsid w:val="0045043A"/>
    <w:rsid w:val="00450761"/>
    <w:rsid w:val="00450A76"/>
    <w:rsid w:val="00450C57"/>
    <w:rsid w:val="00450D90"/>
    <w:rsid w:val="00450E56"/>
    <w:rsid w:val="00450ED4"/>
    <w:rsid w:val="004517CD"/>
    <w:rsid w:val="00451BAC"/>
    <w:rsid w:val="00451F6F"/>
    <w:rsid w:val="004524EF"/>
    <w:rsid w:val="0045275D"/>
    <w:rsid w:val="00452864"/>
    <w:rsid w:val="004528CE"/>
    <w:rsid w:val="00452AA8"/>
    <w:rsid w:val="00452D0D"/>
    <w:rsid w:val="00452D4F"/>
    <w:rsid w:val="00452E3B"/>
    <w:rsid w:val="00452F66"/>
    <w:rsid w:val="004535E1"/>
    <w:rsid w:val="004537F6"/>
    <w:rsid w:val="00454137"/>
    <w:rsid w:val="004541CC"/>
    <w:rsid w:val="004543D1"/>
    <w:rsid w:val="00454412"/>
    <w:rsid w:val="004544F1"/>
    <w:rsid w:val="0045483D"/>
    <w:rsid w:val="004548A9"/>
    <w:rsid w:val="00454BB3"/>
    <w:rsid w:val="004552A6"/>
    <w:rsid w:val="0045537B"/>
    <w:rsid w:val="0045539B"/>
    <w:rsid w:val="004553E4"/>
    <w:rsid w:val="00455CE2"/>
    <w:rsid w:val="00456353"/>
    <w:rsid w:val="00456984"/>
    <w:rsid w:val="00456B64"/>
    <w:rsid w:val="00456F64"/>
    <w:rsid w:val="00457334"/>
    <w:rsid w:val="00457481"/>
    <w:rsid w:val="004575E1"/>
    <w:rsid w:val="004576BF"/>
    <w:rsid w:val="00457EC9"/>
    <w:rsid w:val="00460B7A"/>
    <w:rsid w:val="00460C12"/>
    <w:rsid w:val="00460E24"/>
    <w:rsid w:val="00460FA0"/>
    <w:rsid w:val="00460FF0"/>
    <w:rsid w:val="00461737"/>
    <w:rsid w:val="004617B7"/>
    <w:rsid w:val="0046276A"/>
    <w:rsid w:val="00462DAB"/>
    <w:rsid w:val="00462E74"/>
    <w:rsid w:val="0046399D"/>
    <w:rsid w:val="00463D48"/>
    <w:rsid w:val="00463DE2"/>
    <w:rsid w:val="004646B7"/>
    <w:rsid w:val="0046475A"/>
    <w:rsid w:val="004651BC"/>
    <w:rsid w:val="004666F3"/>
    <w:rsid w:val="004667C4"/>
    <w:rsid w:val="00467175"/>
    <w:rsid w:val="004671DE"/>
    <w:rsid w:val="004675FF"/>
    <w:rsid w:val="00467630"/>
    <w:rsid w:val="00467AD0"/>
    <w:rsid w:val="00467F99"/>
    <w:rsid w:val="00470217"/>
    <w:rsid w:val="0047080F"/>
    <w:rsid w:val="004709AD"/>
    <w:rsid w:val="00470B04"/>
    <w:rsid w:val="00470BD0"/>
    <w:rsid w:val="00470EF0"/>
    <w:rsid w:val="0047127F"/>
    <w:rsid w:val="00471611"/>
    <w:rsid w:val="00471CF5"/>
    <w:rsid w:val="00471D26"/>
    <w:rsid w:val="00471DEC"/>
    <w:rsid w:val="00471E19"/>
    <w:rsid w:val="00471F28"/>
    <w:rsid w:val="004720B9"/>
    <w:rsid w:val="004728E2"/>
    <w:rsid w:val="00472B3E"/>
    <w:rsid w:val="00472E8A"/>
    <w:rsid w:val="00472FB2"/>
    <w:rsid w:val="004733DA"/>
    <w:rsid w:val="004735AC"/>
    <w:rsid w:val="004739AA"/>
    <w:rsid w:val="00473EB9"/>
    <w:rsid w:val="00473ED9"/>
    <w:rsid w:val="00474111"/>
    <w:rsid w:val="00474497"/>
    <w:rsid w:val="00474683"/>
    <w:rsid w:val="00474752"/>
    <w:rsid w:val="00474ACE"/>
    <w:rsid w:val="00474E3D"/>
    <w:rsid w:val="004751F5"/>
    <w:rsid w:val="0047540B"/>
    <w:rsid w:val="004755F9"/>
    <w:rsid w:val="004756E6"/>
    <w:rsid w:val="004759E7"/>
    <w:rsid w:val="00475C4D"/>
    <w:rsid w:val="00475F9C"/>
    <w:rsid w:val="0047637B"/>
    <w:rsid w:val="00476A01"/>
    <w:rsid w:val="00476A5A"/>
    <w:rsid w:val="00476C33"/>
    <w:rsid w:val="00476C6D"/>
    <w:rsid w:val="00477055"/>
    <w:rsid w:val="00477151"/>
    <w:rsid w:val="00477A03"/>
    <w:rsid w:val="00477BD2"/>
    <w:rsid w:val="004800CF"/>
    <w:rsid w:val="00480180"/>
    <w:rsid w:val="00480567"/>
    <w:rsid w:val="00480721"/>
    <w:rsid w:val="004807B9"/>
    <w:rsid w:val="0048082B"/>
    <w:rsid w:val="00481DED"/>
    <w:rsid w:val="0048201A"/>
    <w:rsid w:val="00482246"/>
    <w:rsid w:val="0048258A"/>
    <w:rsid w:val="00482619"/>
    <w:rsid w:val="004829A6"/>
    <w:rsid w:val="00482EE2"/>
    <w:rsid w:val="004836AB"/>
    <w:rsid w:val="0048389C"/>
    <w:rsid w:val="004839A9"/>
    <w:rsid w:val="00483BC2"/>
    <w:rsid w:val="00483DA9"/>
    <w:rsid w:val="004840A2"/>
    <w:rsid w:val="00484442"/>
    <w:rsid w:val="0048461F"/>
    <w:rsid w:val="00484C97"/>
    <w:rsid w:val="00484E2F"/>
    <w:rsid w:val="00484EF9"/>
    <w:rsid w:val="0048532F"/>
    <w:rsid w:val="004853A0"/>
    <w:rsid w:val="00485476"/>
    <w:rsid w:val="004856B3"/>
    <w:rsid w:val="004866A0"/>
    <w:rsid w:val="00486B1D"/>
    <w:rsid w:val="00486D62"/>
    <w:rsid w:val="00486EA0"/>
    <w:rsid w:val="004872A8"/>
    <w:rsid w:val="00487335"/>
    <w:rsid w:val="00487394"/>
    <w:rsid w:val="004875AC"/>
    <w:rsid w:val="00487AA3"/>
    <w:rsid w:val="00487E02"/>
    <w:rsid w:val="004904AA"/>
    <w:rsid w:val="00490789"/>
    <w:rsid w:val="0049085F"/>
    <w:rsid w:val="00490D26"/>
    <w:rsid w:val="00490DF6"/>
    <w:rsid w:val="00490F37"/>
    <w:rsid w:val="0049100B"/>
    <w:rsid w:val="00491114"/>
    <w:rsid w:val="00491135"/>
    <w:rsid w:val="0049124C"/>
    <w:rsid w:val="004918B2"/>
    <w:rsid w:val="00491B15"/>
    <w:rsid w:val="00491B6E"/>
    <w:rsid w:val="00491BFC"/>
    <w:rsid w:val="00491EDE"/>
    <w:rsid w:val="00492090"/>
    <w:rsid w:val="004921AB"/>
    <w:rsid w:val="004926E3"/>
    <w:rsid w:val="004928B3"/>
    <w:rsid w:val="00492B54"/>
    <w:rsid w:val="00492B5E"/>
    <w:rsid w:val="00492E5F"/>
    <w:rsid w:val="004930BB"/>
    <w:rsid w:val="00493183"/>
    <w:rsid w:val="004934A4"/>
    <w:rsid w:val="00493CDA"/>
    <w:rsid w:val="00493D1F"/>
    <w:rsid w:val="00494081"/>
    <w:rsid w:val="004941EE"/>
    <w:rsid w:val="00494999"/>
    <w:rsid w:val="00494B4D"/>
    <w:rsid w:val="00494C33"/>
    <w:rsid w:val="00494EC1"/>
    <w:rsid w:val="004954D3"/>
    <w:rsid w:val="004959C2"/>
    <w:rsid w:val="0049619E"/>
    <w:rsid w:val="00496241"/>
    <w:rsid w:val="004963B9"/>
    <w:rsid w:val="004968BA"/>
    <w:rsid w:val="004968C1"/>
    <w:rsid w:val="004968D0"/>
    <w:rsid w:val="00496D9A"/>
    <w:rsid w:val="004970F3"/>
    <w:rsid w:val="0049746D"/>
    <w:rsid w:val="004976C0"/>
    <w:rsid w:val="00497ED3"/>
    <w:rsid w:val="00497FBD"/>
    <w:rsid w:val="004A07DB"/>
    <w:rsid w:val="004A0812"/>
    <w:rsid w:val="004A0B06"/>
    <w:rsid w:val="004A0BAC"/>
    <w:rsid w:val="004A1344"/>
    <w:rsid w:val="004A14B7"/>
    <w:rsid w:val="004A160A"/>
    <w:rsid w:val="004A17F2"/>
    <w:rsid w:val="004A1897"/>
    <w:rsid w:val="004A1974"/>
    <w:rsid w:val="004A1D32"/>
    <w:rsid w:val="004A1D5D"/>
    <w:rsid w:val="004A1D9C"/>
    <w:rsid w:val="004A2084"/>
    <w:rsid w:val="004A218C"/>
    <w:rsid w:val="004A23FC"/>
    <w:rsid w:val="004A260E"/>
    <w:rsid w:val="004A26F4"/>
    <w:rsid w:val="004A2721"/>
    <w:rsid w:val="004A273C"/>
    <w:rsid w:val="004A287F"/>
    <w:rsid w:val="004A2BC2"/>
    <w:rsid w:val="004A2CFB"/>
    <w:rsid w:val="004A3017"/>
    <w:rsid w:val="004A305C"/>
    <w:rsid w:val="004A3061"/>
    <w:rsid w:val="004A35B5"/>
    <w:rsid w:val="004A37AD"/>
    <w:rsid w:val="004A3863"/>
    <w:rsid w:val="004A3925"/>
    <w:rsid w:val="004A4372"/>
    <w:rsid w:val="004A4565"/>
    <w:rsid w:val="004A4C0E"/>
    <w:rsid w:val="004A4D62"/>
    <w:rsid w:val="004A523D"/>
    <w:rsid w:val="004A5283"/>
    <w:rsid w:val="004A5667"/>
    <w:rsid w:val="004A59B5"/>
    <w:rsid w:val="004A5AD3"/>
    <w:rsid w:val="004A5C4B"/>
    <w:rsid w:val="004A5CAD"/>
    <w:rsid w:val="004A5F15"/>
    <w:rsid w:val="004A5F55"/>
    <w:rsid w:val="004A6049"/>
    <w:rsid w:val="004A60AA"/>
    <w:rsid w:val="004A6194"/>
    <w:rsid w:val="004A61B0"/>
    <w:rsid w:val="004A6363"/>
    <w:rsid w:val="004A66C2"/>
    <w:rsid w:val="004A670A"/>
    <w:rsid w:val="004A6A40"/>
    <w:rsid w:val="004A6B6C"/>
    <w:rsid w:val="004A7085"/>
    <w:rsid w:val="004A71D5"/>
    <w:rsid w:val="004A7447"/>
    <w:rsid w:val="004A78B5"/>
    <w:rsid w:val="004A7951"/>
    <w:rsid w:val="004B03A9"/>
    <w:rsid w:val="004B03D0"/>
    <w:rsid w:val="004B0999"/>
    <w:rsid w:val="004B0ABE"/>
    <w:rsid w:val="004B0B81"/>
    <w:rsid w:val="004B0CB6"/>
    <w:rsid w:val="004B0E7A"/>
    <w:rsid w:val="004B22CB"/>
    <w:rsid w:val="004B2338"/>
    <w:rsid w:val="004B246D"/>
    <w:rsid w:val="004B24E1"/>
    <w:rsid w:val="004B2547"/>
    <w:rsid w:val="004B2698"/>
    <w:rsid w:val="004B2877"/>
    <w:rsid w:val="004B29FF"/>
    <w:rsid w:val="004B2D9D"/>
    <w:rsid w:val="004B3A7A"/>
    <w:rsid w:val="004B41DF"/>
    <w:rsid w:val="004B46C5"/>
    <w:rsid w:val="004B477F"/>
    <w:rsid w:val="004B47FB"/>
    <w:rsid w:val="004B4A4B"/>
    <w:rsid w:val="004B4E0B"/>
    <w:rsid w:val="004B534F"/>
    <w:rsid w:val="004B5574"/>
    <w:rsid w:val="004B55C2"/>
    <w:rsid w:val="004B5785"/>
    <w:rsid w:val="004B5806"/>
    <w:rsid w:val="004B5906"/>
    <w:rsid w:val="004B5996"/>
    <w:rsid w:val="004B59A4"/>
    <w:rsid w:val="004B5A01"/>
    <w:rsid w:val="004B5C44"/>
    <w:rsid w:val="004B5E7D"/>
    <w:rsid w:val="004B5EA0"/>
    <w:rsid w:val="004B631E"/>
    <w:rsid w:val="004B650B"/>
    <w:rsid w:val="004B65EC"/>
    <w:rsid w:val="004B6650"/>
    <w:rsid w:val="004B6983"/>
    <w:rsid w:val="004B69F9"/>
    <w:rsid w:val="004B6D2F"/>
    <w:rsid w:val="004B6EC9"/>
    <w:rsid w:val="004B738C"/>
    <w:rsid w:val="004B7A49"/>
    <w:rsid w:val="004B7BA9"/>
    <w:rsid w:val="004B7E79"/>
    <w:rsid w:val="004B7F96"/>
    <w:rsid w:val="004C0322"/>
    <w:rsid w:val="004C0750"/>
    <w:rsid w:val="004C0864"/>
    <w:rsid w:val="004C0BEB"/>
    <w:rsid w:val="004C1392"/>
    <w:rsid w:val="004C1A7D"/>
    <w:rsid w:val="004C23A9"/>
    <w:rsid w:val="004C27B6"/>
    <w:rsid w:val="004C2C70"/>
    <w:rsid w:val="004C2EC5"/>
    <w:rsid w:val="004C2F62"/>
    <w:rsid w:val="004C2F9D"/>
    <w:rsid w:val="004C306E"/>
    <w:rsid w:val="004C30C3"/>
    <w:rsid w:val="004C323E"/>
    <w:rsid w:val="004C32EC"/>
    <w:rsid w:val="004C33D9"/>
    <w:rsid w:val="004C3633"/>
    <w:rsid w:val="004C3946"/>
    <w:rsid w:val="004C3D93"/>
    <w:rsid w:val="004C435D"/>
    <w:rsid w:val="004C4446"/>
    <w:rsid w:val="004C4554"/>
    <w:rsid w:val="004C4979"/>
    <w:rsid w:val="004C4E60"/>
    <w:rsid w:val="004C4E62"/>
    <w:rsid w:val="004C4FA4"/>
    <w:rsid w:val="004C5340"/>
    <w:rsid w:val="004C5660"/>
    <w:rsid w:val="004C5949"/>
    <w:rsid w:val="004C5977"/>
    <w:rsid w:val="004C5A03"/>
    <w:rsid w:val="004C5A4D"/>
    <w:rsid w:val="004C6034"/>
    <w:rsid w:val="004C62E4"/>
    <w:rsid w:val="004C6797"/>
    <w:rsid w:val="004C690D"/>
    <w:rsid w:val="004C6B0F"/>
    <w:rsid w:val="004C6D0C"/>
    <w:rsid w:val="004C6E47"/>
    <w:rsid w:val="004C70D8"/>
    <w:rsid w:val="004C72AF"/>
    <w:rsid w:val="004C731F"/>
    <w:rsid w:val="004C76C8"/>
    <w:rsid w:val="004C7DC4"/>
    <w:rsid w:val="004C7E15"/>
    <w:rsid w:val="004C7EAA"/>
    <w:rsid w:val="004D061A"/>
    <w:rsid w:val="004D0725"/>
    <w:rsid w:val="004D07CF"/>
    <w:rsid w:val="004D082B"/>
    <w:rsid w:val="004D09AC"/>
    <w:rsid w:val="004D0B51"/>
    <w:rsid w:val="004D0C19"/>
    <w:rsid w:val="004D0F59"/>
    <w:rsid w:val="004D1475"/>
    <w:rsid w:val="004D14B2"/>
    <w:rsid w:val="004D14C2"/>
    <w:rsid w:val="004D15BD"/>
    <w:rsid w:val="004D16CA"/>
    <w:rsid w:val="004D1722"/>
    <w:rsid w:val="004D1A5A"/>
    <w:rsid w:val="004D1A62"/>
    <w:rsid w:val="004D2489"/>
    <w:rsid w:val="004D25F4"/>
    <w:rsid w:val="004D2C67"/>
    <w:rsid w:val="004D2DD6"/>
    <w:rsid w:val="004D31BB"/>
    <w:rsid w:val="004D3310"/>
    <w:rsid w:val="004D3691"/>
    <w:rsid w:val="004D36F4"/>
    <w:rsid w:val="004D37C4"/>
    <w:rsid w:val="004D389B"/>
    <w:rsid w:val="004D394F"/>
    <w:rsid w:val="004D4391"/>
    <w:rsid w:val="004D4431"/>
    <w:rsid w:val="004D44EB"/>
    <w:rsid w:val="004D46C6"/>
    <w:rsid w:val="004D4C76"/>
    <w:rsid w:val="004D50CF"/>
    <w:rsid w:val="004D5580"/>
    <w:rsid w:val="004D5A73"/>
    <w:rsid w:val="004D5D52"/>
    <w:rsid w:val="004D61A0"/>
    <w:rsid w:val="004D6308"/>
    <w:rsid w:val="004D66C8"/>
    <w:rsid w:val="004D68C2"/>
    <w:rsid w:val="004D68C7"/>
    <w:rsid w:val="004D6A06"/>
    <w:rsid w:val="004D6D1D"/>
    <w:rsid w:val="004D6D21"/>
    <w:rsid w:val="004D6D9D"/>
    <w:rsid w:val="004D7217"/>
    <w:rsid w:val="004D7499"/>
    <w:rsid w:val="004D7955"/>
    <w:rsid w:val="004D7E24"/>
    <w:rsid w:val="004E018B"/>
    <w:rsid w:val="004E047D"/>
    <w:rsid w:val="004E04B7"/>
    <w:rsid w:val="004E068F"/>
    <w:rsid w:val="004E0706"/>
    <w:rsid w:val="004E1048"/>
    <w:rsid w:val="004E138B"/>
    <w:rsid w:val="004E196E"/>
    <w:rsid w:val="004E22E5"/>
    <w:rsid w:val="004E24BC"/>
    <w:rsid w:val="004E2592"/>
    <w:rsid w:val="004E27EC"/>
    <w:rsid w:val="004E27FF"/>
    <w:rsid w:val="004E2B15"/>
    <w:rsid w:val="004E2C58"/>
    <w:rsid w:val="004E36E0"/>
    <w:rsid w:val="004E397C"/>
    <w:rsid w:val="004E498D"/>
    <w:rsid w:val="004E4B70"/>
    <w:rsid w:val="004E4E64"/>
    <w:rsid w:val="004E4F85"/>
    <w:rsid w:val="004E5095"/>
    <w:rsid w:val="004E5785"/>
    <w:rsid w:val="004E5CB5"/>
    <w:rsid w:val="004E5D54"/>
    <w:rsid w:val="004E5E11"/>
    <w:rsid w:val="004E60DA"/>
    <w:rsid w:val="004E62B3"/>
    <w:rsid w:val="004E63E7"/>
    <w:rsid w:val="004E6878"/>
    <w:rsid w:val="004E6D1B"/>
    <w:rsid w:val="004E705D"/>
    <w:rsid w:val="004E70B4"/>
    <w:rsid w:val="004E710B"/>
    <w:rsid w:val="004E7324"/>
    <w:rsid w:val="004E7341"/>
    <w:rsid w:val="004E743B"/>
    <w:rsid w:val="004E7AB5"/>
    <w:rsid w:val="004E7C3A"/>
    <w:rsid w:val="004E7C9C"/>
    <w:rsid w:val="004F0065"/>
    <w:rsid w:val="004F047F"/>
    <w:rsid w:val="004F0624"/>
    <w:rsid w:val="004F06C8"/>
    <w:rsid w:val="004F075C"/>
    <w:rsid w:val="004F08BB"/>
    <w:rsid w:val="004F0A26"/>
    <w:rsid w:val="004F0AE9"/>
    <w:rsid w:val="004F0F4E"/>
    <w:rsid w:val="004F10CF"/>
    <w:rsid w:val="004F11CB"/>
    <w:rsid w:val="004F1547"/>
    <w:rsid w:val="004F17D9"/>
    <w:rsid w:val="004F1815"/>
    <w:rsid w:val="004F1B4D"/>
    <w:rsid w:val="004F1B96"/>
    <w:rsid w:val="004F1E3D"/>
    <w:rsid w:val="004F1F7C"/>
    <w:rsid w:val="004F21EA"/>
    <w:rsid w:val="004F2240"/>
    <w:rsid w:val="004F2678"/>
    <w:rsid w:val="004F269A"/>
    <w:rsid w:val="004F28DF"/>
    <w:rsid w:val="004F2F25"/>
    <w:rsid w:val="004F3386"/>
    <w:rsid w:val="004F344F"/>
    <w:rsid w:val="004F36F8"/>
    <w:rsid w:val="004F38CA"/>
    <w:rsid w:val="004F3A5A"/>
    <w:rsid w:val="004F4394"/>
    <w:rsid w:val="004F4450"/>
    <w:rsid w:val="004F4AA2"/>
    <w:rsid w:val="004F4DA1"/>
    <w:rsid w:val="004F51E1"/>
    <w:rsid w:val="004F524B"/>
    <w:rsid w:val="004F5420"/>
    <w:rsid w:val="004F5456"/>
    <w:rsid w:val="004F58AB"/>
    <w:rsid w:val="004F5BD7"/>
    <w:rsid w:val="004F6201"/>
    <w:rsid w:val="004F63EA"/>
    <w:rsid w:val="004F67A3"/>
    <w:rsid w:val="004F67F0"/>
    <w:rsid w:val="004F6933"/>
    <w:rsid w:val="004F6D06"/>
    <w:rsid w:val="004F7288"/>
    <w:rsid w:val="004F72CC"/>
    <w:rsid w:val="004F7E6D"/>
    <w:rsid w:val="00500207"/>
    <w:rsid w:val="005004A4"/>
    <w:rsid w:val="0050057C"/>
    <w:rsid w:val="00500758"/>
    <w:rsid w:val="005007BE"/>
    <w:rsid w:val="00500C94"/>
    <w:rsid w:val="005019B2"/>
    <w:rsid w:val="00501DA3"/>
    <w:rsid w:val="005022C0"/>
    <w:rsid w:val="005022ED"/>
    <w:rsid w:val="005027B0"/>
    <w:rsid w:val="0050297B"/>
    <w:rsid w:val="00502B77"/>
    <w:rsid w:val="00502D9C"/>
    <w:rsid w:val="00503269"/>
    <w:rsid w:val="00503889"/>
    <w:rsid w:val="005044F1"/>
    <w:rsid w:val="00504873"/>
    <w:rsid w:val="00504C85"/>
    <w:rsid w:val="00504DA1"/>
    <w:rsid w:val="0050550D"/>
    <w:rsid w:val="00505EBE"/>
    <w:rsid w:val="00506487"/>
    <w:rsid w:val="00506927"/>
    <w:rsid w:val="00506BA4"/>
    <w:rsid w:val="0050707D"/>
    <w:rsid w:val="0050740E"/>
    <w:rsid w:val="00507514"/>
    <w:rsid w:val="00507D72"/>
    <w:rsid w:val="005100F7"/>
    <w:rsid w:val="005101A8"/>
    <w:rsid w:val="0051025E"/>
    <w:rsid w:val="005104E8"/>
    <w:rsid w:val="0051083F"/>
    <w:rsid w:val="00510876"/>
    <w:rsid w:val="00510A22"/>
    <w:rsid w:val="00511097"/>
    <w:rsid w:val="005111AA"/>
    <w:rsid w:val="00511562"/>
    <w:rsid w:val="0051183D"/>
    <w:rsid w:val="0051193E"/>
    <w:rsid w:val="00511AA8"/>
    <w:rsid w:val="00511ABE"/>
    <w:rsid w:val="00511B6A"/>
    <w:rsid w:val="00512449"/>
    <w:rsid w:val="005124A4"/>
    <w:rsid w:val="00512914"/>
    <w:rsid w:val="00512CF5"/>
    <w:rsid w:val="00512D84"/>
    <w:rsid w:val="00512DBE"/>
    <w:rsid w:val="0051301B"/>
    <w:rsid w:val="00513854"/>
    <w:rsid w:val="00513D59"/>
    <w:rsid w:val="00514062"/>
    <w:rsid w:val="005145D7"/>
    <w:rsid w:val="00514A38"/>
    <w:rsid w:val="00514EEE"/>
    <w:rsid w:val="00515106"/>
    <w:rsid w:val="00515290"/>
    <w:rsid w:val="005153FE"/>
    <w:rsid w:val="00515783"/>
    <w:rsid w:val="0051597F"/>
    <w:rsid w:val="00515FB5"/>
    <w:rsid w:val="0051645F"/>
    <w:rsid w:val="00516B56"/>
    <w:rsid w:val="00516C1D"/>
    <w:rsid w:val="00516ED1"/>
    <w:rsid w:val="0051705E"/>
    <w:rsid w:val="005173C7"/>
    <w:rsid w:val="00517A76"/>
    <w:rsid w:val="00517EAF"/>
    <w:rsid w:val="00517F51"/>
    <w:rsid w:val="00520020"/>
    <w:rsid w:val="005201F6"/>
    <w:rsid w:val="00520873"/>
    <w:rsid w:val="00520935"/>
    <w:rsid w:val="00520DEA"/>
    <w:rsid w:val="00521559"/>
    <w:rsid w:val="005217B8"/>
    <w:rsid w:val="00521864"/>
    <w:rsid w:val="005218B3"/>
    <w:rsid w:val="00521ADB"/>
    <w:rsid w:val="00521E0A"/>
    <w:rsid w:val="00521F2C"/>
    <w:rsid w:val="0052236F"/>
    <w:rsid w:val="005224ED"/>
    <w:rsid w:val="00522725"/>
    <w:rsid w:val="00522EA2"/>
    <w:rsid w:val="0052362E"/>
    <w:rsid w:val="0052396B"/>
    <w:rsid w:val="00523972"/>
    <w:rsid w:val="0052398B"/>
    <w:rsid w:val="00523C7F"/>
    <w:rsid w:val="00523D3E"/>
    <w:rsid w:val="00523EE1"/>
    <w:rsid w:val="00523F08"/>
    <w:rsid w:val="0052448D"/>
    <w:rsid w:val="005244DF"/>
    <w:rsid w:val="005248CE"/>
    <w:rsid w:val="00524A45"/>
    <w:rsid w:val="00524CB7"/>
    <w:rsid w:val="00525246"/>
    <w:rsid w:val="005253EF"/>
    <w:rsid w:val="005258C0"/>
    <w:rsid w:val="005258F2"/>
    <w:rsid w:val="00525B7F"/>
    <w:rsid w:val="00525D23"/>
    <w:rsid w:val="00525E89"/>
    <w:rsid w:val="0052619D"/>
    <w:rsid w:val="00526205"/>
    <w:rsid w:val="005263BE"/>
    <w:rsid w:val="0052643F"/>
    <w:rsid w:val="0052651C"/>
    <w:rsid w:val="005265E0"/>
    <w:rsid w:val="005266C1"/>
    <w:rsid w:val="00526A5E"/>
    <w:rsid w:val="00526AE7"/>
    <w:rsid w:val="00526B5B"/>
    <w:rsid w:val="00526B8A"/>
    <w:rsid w:val="00526FB0"/>
    <w:rsid w:val="0052714B"/>
    <w:rsid w:val="00527215"/>
    <w:rsid w:val="005302FC"/>
    <w:rsid w:val="0053087C"/>
    <w:rsid w:val="0053090F"/>
    <w:rsid w:val="00530DFA"/>
    <w:rsid w:val="00530EFC"/>
    <w:rsid w:val="00531159"/>
    <w:rsid w:val="0053115A"/>
    <w:rsid w:val="0053132B"/>
    <w:rsid w:val="00531A05"/>
    <w:rsid w:val="005327C1"/>
    <w:rsid w:val="005327F7"/>
    <w:rsid w:val="00532EE2"/>
    <w:rsid w:val="00532EEF"/>
    <w:rsid w:val="00532F03"/>
    <w:rsid w:val="005330BA"/>
    <w:rsid w:val="005330C4"/>
    <w:rsid w:val="005332A9"/>
    <w:rsid w:val="00533427"/>
    <w:rsid w:val="0053344D"/>
    <w:rsid w:val="0053366E"/>
    <w:rsid w:val="005337EA"/>
    <w:rsid w:val="0053392A"/>
    <w:rsid w:val="00533DCD"/>
    <w:rsid w:val="0053427B"/>
    <w:rsid w:val="0053466C"/>
    <w:rsid w:val="00534925"/>
    <w:rsid w:val="00534990"/>
    <w:rsid w:val="0053554C"/>
    <w:rsid w:val="00535C07"/>
    <w:rsid w:val="00535FCC"/>
    <w:rsid w:val="005360D0"/>
    <w:rsid w:val="00536137"/>
    <w:rsid w:val="005363C7"/>
    <w:rsid w:val="00536506"/>
    <w:rsid w:val="00536ED0"/>
    <w:rsid w:val="00537049"/>
    <w:rsid w:val="00537697"/>
    <w:rsid w:val="00537904"/>
    <w:rsid w:val="005379CE"/>
    <w:rsid w:val="00537B08"/>
    <w:rsid w:val="00537C7A"/>
    <w:rsid w:val="00537DE8"/>
    <w:rsid w:val="00540656"/>
    <w:rsid w:val="005407AF"/>
    <w:rsid w:val="00540E9B"/>
    <w:rsid w:val="0054112E"/>
    <w:rsid w:val="00541421"/>
    <w:rsid w:val="00541430"/>
    <w:rsid w:val="005415AA"/>
    <w:rsid w:val="0054194C"/>
    <w:rsid w:val="00541E1A"/>
    <w:rsid w:val="00542154"/>
    <w:rsid w:val="005424CA"/>
    <w:rsid w:val="0054278E"/>
    <w:rsid w:val="0054288D"/>
    <w:rsid w:val="00542E6A"/>
    <w:rsid w:val="00542EC4"/>
    <w:rsid w:val="00542EE5"/>
    <w:rsid w:val="00542FA9"/>
    <w:rsid w:val="00543110"/>
    <w:rsid w:val="00543135"/>
    <w:rsid w:val="00543290"/>
    <w:rsid w:val="005434EC"/>
    <w:rsid w:val="005436EA"/>
    <w:rsid w:val="00543B4A"/>
    <w:rsid w:val="00543B54"/>
    <w:rsid w:val="00543BE4"/>
    <w:rsid w:val="005441BF"/>
    <w:rsid w:val="00544658"/>
    <w:rsid w:val="00544FED"/>
    <w:rsid w:val="0054511A"/>
    <w:rsid w:val="0054535C"/>
    <w:rsid w:val="005454EF"/>
    <w:rsid w:val="00545EFE"/>
    <w:rsid w:val="00545FEB"/>
    <w:rsid w:val="005464E2"/>
    <w:rsid w:val="00546980"/>
    <w:rsid w:val="005469E5"/>
    <w:rsid w:val="00546B41"/>
    <w:rsid w:val="00546D51"/>
    <w:rsid w:val="0054715A"/>
    <w:rsid w:val="005472F1"/>
    <w:rsid w:val="005473C0"/>
    <w:rsid w:val="00547437"/>
    <w:rsid w:val="0054747B"/>
    <w:rsid w:val="00547519"/>
    <w:rsid w:val="005475E3"/>
    <w:rsid w:val="00547748"/>
    <w:rsid w:val="0054784B"/>
    <w:rsid w:val="00547DDD"/>
    <w:rsid w:val="00547F05"/>
    <w:rsid w:val="005501CD"/>
    <w:rsid w:val="00550258"/>
    <w:rsid w:val="0055054F"/>
    <w:rsid w:val="005506BD"/>
    <w:rsid w:val="0055090E"/>
    <w:rsid w:val="00550B1D"/>
    <w:rsid w:val="00550DB5"/>
    <w:rsid w:val="00550F01"/>
    <w:rsid w:val="00550F6C"/>
    <w:rsid w:val="005513E4"/>
    <w:rsid w:val="005513F1"/>
    <w:rsid w:val="0055200A"/>
    <w:rsid w:val="00552B99"/>
    <w:rsid w:val="00552DE3"/>
    <w:rsid w:val="005531EA"/>
    <w:rsid w:val="0055343F"/>
    <w:rsid w:val="005534B0"/>
    <w:rsid w:val="005535A8"/>
    <w:rsid w:val="0055367F"/>
    <w:rsid w:val="00553C66"/>
    <w:rsid w:val="00553E8D"/>
    <w:rsid w:val="00553F9F"/>
    <w:rsid w:val="005541A9"/>
    <w:rsid w:val="0055420D"/>
    <w:rsid w:val="005542A0"/>
    <w:rsid w:val="00554ABB"/>
    <w:rsid w:val="00554E71"/>
    <w:rsid w:val="00554EE1"/>
    <w:rsid w:val="00554EEE"/>
    <w:rsid w:val="005557AF"/>
    <w:rsid w:val="00555851"/>
    <w:rsid w:val="00555878"/>
    <w:rsid w:val="00555996"/>
    <w:rsid w:val="00555C72"/>
    <w:rsid w:val="00556759"/>
    <w:rsid w:val="0055693C"/>
    <w:rsid w:val="00556A36"/>
    <w:rsid w:val="00556B45"/>
    <w:rsid w:val="00556F0C"/>
    <w:rsid w:val="00557309"/>
    <w:rsid w:val="005574D9"/>
    <w:rsid w:val="00557588"/>
    <w:rsid w:val="00557956"/>
    <w:rsid w:val="00557AC2"/>
    <w:rsid w:val="00557B36"/>
    <w:rsid w:val="005600D8"/>
    <w:rsid w:val="005604D9"/>
    <w:rsid w:val="0056096F"/>
    <w:rsid w:val="00560A8B"/>
    <w:rsid w:val="00560C4F"/>
    <w:rsid w:val="00561166"/>
    <w:rsid w:val="0056134A"/>
    <w:rsid w:val="00561436"/>
    <w:rsid w:val="0056196B"/>
    <w:rsid w:val="005623EF"/>
    <w:rsid w:val="0056274A"/>
    <w:rsid w:val="005628B6"/>
    <w:rsid w:val="00562905"/>
    <w:rsid w:val="00562B20"/>
    <w:rsid w:val="00562BB8"/>
    <w:rsid w:val="00562EDD"/>
    <w:rsid w:val="00562F72"/>
    <w:rsid w:val="00563397"/>
    <w:rsid w:val="005633EE"/>
    <w:rsid w:val="0056357C"/>
    <w:rsid w:val="005639FB"/>
    <w:rsid w:val="005641F4"/>
    <w:rsid w:val="00564C0E"/>
    <w:rsid w:val="00564C14"/>
    <w:rsid w:val="00564E25"/>
    <w:rsid w:val="00564E38"/>
    <w:rsid w:val="0056508D"/>
    <w:rsid w:val="00565097"/>
    <w:rsid w:val="00565136"/>
    <w:rsid w:val="005655ED"/>
    <w:rsid w:val="00565E8C"/>
    <w:rsid w:val="0056630E"/>
    <w:rsid w:val="005665A1"/>
    <w:rsid w:val="005669A6"/>
    <w:rsid w:val="00566DED"/>
    <w:rsid w:val="005670A1"/>
    <w:rsid w:val="0056740F"/>
    <w:rsid w:val="00567B57"/>
    <w:rsid w:val="00567F7C"/>
    <w:rsid w:val="00570354"/>
    <w:rsid w:val="00570371"/>
    <w:rsid w:val="005705BD"/>
    <w:rsid w:val="005706A9"/>
    <w:rsid w:val="005707F9"/>
    <w:rsid w:val="00570EC4"/>
    <w:rsid w:val="00570F53"/>
    <w:rsid w:val="005711AA"/>
    <w:rsid w:val="00571895"/>
    <w:rsid w:val="00571A78"/>
    <w:rsid w:val="00571D2B"/>
    <w:rsid w:val="00571F5B"/>
    <w:rsid w:val="00572208"/>
    <w:rsid w:val="00572237"/>
    <w:rsid w:val="00572983"/>
    <w:rsid w:val="00572DAA"/>
    <w:rsid w:val="00572F89"/>
    <w:rsid w:val="0057358C"/>
    <w:rsid w:val="00573B45"/>
    <w:rsid w:val="00573BEF"/>
    <w:rsid w:val="00573DF6"/>
    <w:rsid w:val="00573E81"/>
    <w:rsid w:val="005747E6"/>
    <w:rsid w:val="00574868"/>
    <w:rsid w:val="00574BBA"/>
    <w:rsid w:val="00575177"/>
    <w:rsid w:val="00575240"/>
    <w:rsid w:val="005756A8"/>
    <w:rsid w:val="00575791"/>
    <w:rsid w:val="0057581E"/>
    <w:rsid w:val="00575C3A"/>
    <w:rsid w:val="00575ED9"/>
    <w:rsid w:val="00575F4A"/>
    <w:rsid w:val="00575FEA"/>
    <w:rsid w:val="0057600F"/>
    <w:rsid w:val="005761E2"/>
    <w:rsid w:val="00576243"/>
    <w:rsid w:val="005764A4"/>
    <w:rsid w:val="00576CF2"/>
    <w:rsid w:val="00576D68"/>
    <w:rsid w:val="00576F71"/>
    <w:rsid w:val="00577015"/>
    <w:rsid w:val="0057752E"/>
    <w:rsid w:val="0057758C"/>
    <w:rsid w:val="005775F3"/>
    <w:rsid w:val="00577604"/>
    <w:rsid w:val="005776FD"/>
    <w:rsid w:val="00577741"/>
    <w:rsid w:val="00577A5A"/>
    <w:rsid w:val="00577F0B"/>
    <w:rsid w:val="005803D0"/>
    <w:rsid w:val="00580A20"/>
    <w:rsid w:val="00580D93"/>
    <w:rsid w:val="005811D5"/>
    <w:rsid w:val="0058125F"/>
    <w:rsid w:val="0058156D"/>
    <w:rsid w:val="00581A1F"/>
    <w:rsid w:val="00581C1D"/>
    <w:rsid w:val="00581E12"/>
    <w:rsid w:val="00582555"/>
    <w:rsid w:val="00582816"/>
    <w:rsid w:val="00582BDC"/>
    <w:rsid w:val="00582D5B"/>
    <w:rsid w:val="00582DEE"/>
    <w:rsid w:val="00582F40"/>
    <w:rsid w:val="00583245"/>
    <w:rsid w:val="00583578"/>
    <w:rsid w:val="0058383F"/>
    <w:rsid w:val="00583DFF"/>
    <w:rsid w:val="005848B0"/>
    <w:rsid w:val="00584CD5"/>
    <w:rsid w:val="00584F44"/>
    <w:rsid w:val="00584F8A"/>
    <w:rsid w:val="00584FC9"/>
    <w:rsid w:val="00585019"/>
    <w:rsid w:val="005851AD"/>
    <w:rsid w:val="00585452"/>
    <w:rsid w:val="005854A2"/>
    <w:rsid w:val="005858A9"/>
    <w:rsid w:val="00585A1B"/>
    <w:rsid w:val="00585B18"/>
    <w:rsid w:val="00585EE1"/>
    <w:rsid w:val="005861DD"/>
    <w:rsid w:val="0058623D"/>
    <w:rsid w:val="005863EB"/>
    <w:rsid w:val="00586725"/>
    <w:rsid w:val="0058694E"/>
    <w:rsid w:val="00586BDF"/>
    <w:rsid w:val="00586CB6"/>
    <w:rsid w:val="00586FB3"/>
    <w:rsid w:val="0058720D"/>
    <w:rsid w:val="00587244"/>
    <w:rsid w:val="005875DE"/>
    <w:rsid w:val="00587B9D"/>
    <w:rsid w:val="005901BA"/>
    <w:rsid w:val="005902AF"/>
    <w:rsid w:val="005904B2"/>
    <w:rsid w:val="005906E7"/>
    <w:rsid w:val="005907BB"/>
    <w:rsid w:val="005907D9"/>
    <w:rsid w:val="00590B6C"/>
    <w:rsid w:val="00591151"/>
    <w:rsid w:val="0059123B"/>
    <w:rsid w:val="005913ED"/>
    <w:rsid w:val="005917F8"/>
    <w:rsid w:val="00591B6A"/>
    <w:rsid w:val="0059248A"/>
    <w:rsid w:val="0059285F"/>
    <w:rsid w:val="005928B4"/>
    <w:rsid w:val="00592DB2"/>
    <w:rsid w:val="00593107"/>
    <w:rsid w:val="00593110"/>
    <w:rsid w:val="00593D49"/>
    <w:rsid w:val="00594021"/>
    <w:rsid w:val="005943D1"/>
    <w:rsid w:val="00594511"/>
    <w:rsid w:val="005946DC"/>
    <w:rsid w:val="005947AA"/>
    <w:rsid w:val="00594B47"/>
    <w:rsid w:val="005952C4"/>
    <w:rsid w:val="005955E8"/>
    <w:rsid w:val="0059575F"/>
    <w:rsid w:val="005958B7"/>
    <w:rsid w:val="00595A29"/>
    <w:rsid w:val="00595C18"/>
    <w:rsid w:val="00595F72"/>
    <w:rsid w:val="00596038"/>
    <w:rsid w:val="00596411"/>
    <w:rsid w:val="00596A4B"/>
    <w:rsid w:val="00596A75"/>
    <w:rsid w:val="005972F5"/>
    <w:rsid w:val="00597501"/>
    <w:rsid w:val="00597514"/>
    <w:rsid w:val="005975AF"/>
    <w:rsid w:val="00597840"/>
    <w:rsid w:val="00597A34"/>
    <w:rsid w:val="00597CA6"/>
    <w:rsid w:val="00597D0E"/>
    <w:rsid w:val="00597F2E"/>
    <w:rsid w:val="005A0030"/>
    <w:rsid w:val="005A01C0"/>
    <w:rsid w:val="005A0527"/>
    <w:rsid w:val="005A0538"/>
    <w:rsid w:val="005A06D0"/>
    <w:rsid w:val="005A0DED"/>
    <w:rsid w:val="005A0F63"/>
    <w:rsid w:val="005A159A"/>
    <w:rsid w:val="005A15ED"/>
    <w:rsid w:val="005A1B6B"/>
    <w:rsid w:val="005A1C52"/>
    <w:rsid w:val="005A1EAE"/>
    <w:rsid w:val="005A224A"/>
    <w:rsid w:val="005A24F4"/>
    <w:rsid w:val="005A2681"/>
    <w:rsid w:val="005A2814"/>
    <w:rsid w:val="005A2A61"/>
    <w:rsid w:val="005A2CD0"/>
    <w:rsid w:val="005A3555"/>
    <w:rsid w:val="005A3926"/>
    <w:rsid w:val="005A394C"/>
    <w:rsid w:val="005A3B09"/>
    <w:rsid w:val="005A4006"/>
    <w:rsid w:val="005A412D"/>
    <w:rsid w:val="005A433E"/>
    <w:rsid w:val="005A4405"/>
    <w:rsid w:val="005A470E"/>
    <w:rsid w:val="005A4BD9"/>
    <w:rsid w:val="005A4F25"/>
    <w:rsid w:val="005A5048"/>
    <w:rsid w:val="005A5403"/>
    <w:rsid w:val="005A543B"/>
    <w:rsid w:val="005A54FA"/>
    <w:rsid w:val="005A5B7C"/>
    <w:rsid w:val="005A5C19"/>
    <w:rsid w:val="005A5C36"/>
    <w:rsid w:val="005A5CBF"/>
    <w:rsid w:val="005A5CCB"/>
    <w:rsid w:val="005A5EA3"/>
    <w:rsid w:val="005A5EAC"/>
    <w:rsid w:val="005A5F5A"/>
    <w:rsid w:val="005A61C1"/>
    <w:rsid w:val="005A6623"/>
    <w:rsid w:val="005A6B00"/>
    <w:rsid w:val="005A6B35"/>
    <w:rsid w:val="005A6CB4"/>
    <w:rsid w:val="005A6D28"/>
    <w:rsid w:val="005A7756"/>
    <w:rsid w:val="005B0881"/>
    <w:rsid w:val="005B0AD0"/>
    <w:rsid w:val="005B185E"/>
    <w:rsid w:val="005B1A62"/>
    <w:rsid w:val="005B2285"/>
    <w:rsid w:val="005B2435"/>
    <w:rsid w:val="005B24DE"/>
    <w:rsid w:val="005B27AF"/>
    <w:rsid w:val="005B2BF5"/>
    <w:rsid w:val="005B2C10"/>
    <w:rsid w:val="005B2E76"/>
    <w:rsid w:val="005B3BF6"/>
    <w:rsid w:val="005B3CDA"/>
    <w:rsid w:val="005B3FA2"/>
    <w:rsid w:val="005B463F"/>
    <w:rsid w:val="005B4AA8"/>
    <w:rsid w:val="005B4E4F"/>
    <w:rsid w:val="005B50AA"/>
    <w:rsid w:val="005B51D9"/>
    <w:rsid w:val="005B54C7"/>
    <w:rsid w:val="005B5578"/>
    <w:rsid w:val="005B569D"/>
    <w:rsid w:val="005B5752"/>
    <w:rsid w:val="005B5A03"/>
    <w:rsid w:val="005B5A31"/>
    <w:rsid w:val="005B5C3A"/>
    <w:rsid w:val="005B5EA2"/>
    <w:rsid w:val="005B5F47"/>
    <w:rsid w:val="005B6066"/>
    <w:rsid w:val="005B60F8"/>
    <w:rsid w:val="005B6511"/>
    <w:rsid w:val="005B6683"/>
    <w:rsid w:val="005B6994"/>
    <w:rsid w:val="005B72B7"/>
    <w:rsid w:val="005B73AD"/>
    <w:rsid w:val="005B7462"/>
    <w:rsid w:val="005B7BCF"/>
    <w:rsid w:val="005C01F2"/>
    <w:rsid w:val="005C046B"/>
    <w:rsid w:val="005C0655"/>
    <w:rsid w:val="005C0800"/>
    <w:rsid w:val="005C0921"/>
    <w:rsid w:val="005C0AAE"/>
    <w:rsid w:val="005C0D60"/>
    <w:rsid w:val="005C1045"/>
    <w:rsid w:val="005C1159"/>
    <w:rsid w:val="005C11DD"/>
    <w:rsid w:val="005C130A"/>
    <w:rsid w:val="005C1403"/>
    <w:rsid w:val="005C150B"/>
    <w:rsid w:val="005C184E"/>
    <w:rsid w:val="005C1F85"/>
    <w:rsid w:val="005C29FF"/>
    <w:rsid w:val="005C2B13"/>
    <w:rsid w:val="005C2E79"/>
    <w:rsid w:val="005C2F12"/>
    <w:rsid w:val="005C334E"/>
    <w:rsid w:val="005C3721"/>
    <w:rsid w:val="005C3A59"/>
    <w:rsid w:val="005C3B06"/>
    <w:rsid w:val="005C3CC3"/>
    <w:rsid w:val="005C3E11"/>
    <w:rsid w:val="005C3F85"/>
    <w:rsid w:val="005C4A98"/>
    <w:rsid w:val="005C4B65"/>
    <w:rsid w:val="005C4CF0"/>
    <w:rsid w:val="005C4E7F"/>
    <w:rsid w:val="005C54B3"/>
    <w:rsid w:val="005C5699"/>
    <w:rsid w:val="005C5777"/>
    <w:rsid w:val="005C586E"/>
    <w:rsid w:val="005C5914"/>
    <w:rsid w:val="005C5953"/>
    <w:rsid w:val="005C5B35"/>
    <w:rsid w:val="005C60C3"/>
    <w:rsid w:val="005C62F7"/>
    <w:rsid w:val="005C644A"/>
    <w:rsid w:val="005C647C"/>
    <w:rsid w:val="005C67B3"/>
    <w:rsid w:val="005C68D5"/>
    <w:rsid w:val="005C6E64"/>
    <w:rsid w:val="005C6FC7"/>
    <w:rsid w:val="005C70D2"/>
    <w:rsid w:val="005C714D"/>
    <w:rsid w:val="005C7330"/>
    <w:rsid w:val="005C7E8E"/>
    <w:rsid w:val="005D0042"/>
    <w:rsid w:val="005D01B8"/>
    <w:rsid w:val="005D02D5"/>
    <w:rsid w:val="005D086E"/>
    <w:rsid w:val="005D0BC0"/>
    <w:rsid w:val="005D0BDA"/>
    <w:rsid w:val="005D0BE1"/>
    <w:rsid w:val="005D0D61"/>
    <w:rsid w:val="005D0EEC"/>
    <w:rsid w:val="005D1026"/>
    <w:rsid w:val="005D10D0"/>
    <w:rsid w:val="005D13B5"/>
    <w:rsid w:val="005D1407"/>
    <w:rsid w:val="005D14FF"/>
    <w:rsid w:val="005D1620"/>
    <w:rsid w:val="005D1723"/>
    <w:rsid w:val="005D1A04"/>
    <w:rsid w:val="005D1B3D"/>
    <w:rsid w:val="005D2006"/>
    <w:rsid w:val="005D2159"/>
    <w:rsid w:val="005D217B"/>
    <w:rsid w:val="005D2B9F"/>
    <w:rsid w:val="005D2D3D"/>
    <w:rsid w:val="005D2ED7"/>
    <w:rsid w:val="005D3778"/>
    <w:rsid w:val="005D3F00"/>
    <w:rsid w:val="005D4264"/>
    <w:rsid w:val="005D43C6"/>
    <w:rsid w:val="005D44DC"/>
    <w:rsid w:val="005D48E9"/>
    <w:rsid w:val="005D50EB"/>
    <w:rsid w:val="005D51A5"/>
    <w:rsid w:val="005D52F9"/>
    <w:rsid w:val="005D5D61"/>
    <w:rsid w:val="005D618B"/>
    <w:rsid w:val="005D61A1"/>
    <w:rsid w:val="005D6542"/>
    <w:rsid w:val="005D6818"/>
    <w:rsid w:val="005D6EDE"/>
    <w:rsid w:val="005D7046"/>
    <w:rsid w:val="005D7382"/>
    <w:rsid w:val="005D7974"/>
    <w:rsid w:val="005D79F5"/>
    <w:rsid w:val="005D7B1D"/>
    <w:rsid w:val="005D7B75"/>
    <w:rsid w:val="005D7B7F"/>
    <w:rsid w:val="005D7C84"/>
    <w:rsid w:val="005E0225"/>
    <w:rsid w:val="005E052A"/>
    <w:rsid w:val="005E0979"/>
    <w:rsid w:val="005E0ABE"/>
    <w:rsid w:val="005E0C42"/>
    <w:rsid w:val="005E0D86"/>
    <w:rsid w:val="005E1355"/>
    <w:rsid w:val="005E18CC"/>
    <w:rsid w:val="005E1931"/>
    <w:rsid w:val="005E1A01"/>
    <w:rsid w:val="005E1A51"/>
    <w:rsid w:val="005E22F3"/>
    <w:rsid w:val="005E23B3"/>
    <w:rsid w:val="005E2402"/>
    <w:rsid w:val="005E246F"/>
    <w:rsid w:val="005E24DC"/>
    <w:rsid w:val="005E2DD3"/>
    <w:rsid w:val="005E2FE3"/>
    <w:rsid w:val="005E3313"/>
    <w:rsid w:val="005E357D"/>
    <w:rsid w:val="005E3610"/>
    <w:rsid w:val="005E3749"/>
    <w:rsid w:val="005E3786"/>
    <w:rsid w:val="005E379E"/>
    <w:rsid w:val="005E3C44"/>
    <w:rsid w:val="005E3FD2"/>
    <w:rsid w:val="005E40AB"/>
    <w:rsid w:val="005E41DA"/>
    <w:rsid w:val="005E42A8"/>
    <w:rsid w:val="005E4652"/>
    <w:rsid w:val="005E4C73"/>
    <w:rsid w:val="005E4F32"/>
    <w:rsid w:val="005E4FD7"/>
    <w:rsid w:val="005E5058"/>
    <w:rsid w:val="005E5324"/>
    <w:rsid w:val="005E574A"/>
    <w:rsid w:val="005E5A72"/>
    <w:rsid w:val="005E5BB8"/>
    <w:rsid w:val="005E5EFC"/>
    <w:rsid w:val="005E5F4B"/>
    <w:rsid w:val="005E66E0"/>
    <w:rsid w:val="005E6971"/>
    <w:rsid w:val="005E6ABF"/>
    <w:rsid w:val="005E73E4"/>
    <w:rsid w:val="005F07DA"/>
    <w:rsid w:val="005F0AAA"/>
    <w:rsid w:val="005F0E6B"/>
    <w:rsid w:val="005F0E71"/>
    <w:rsid w:val="005F0F59"/>
    <w:rsid w:val="005F10D9"/>
    <w:rsid w:val="005F1147"/>
    <w:rsid w:val="005F12C7"/>
    <w:rsid w:val="005F1345"/>
    <w:rsid w:val="005F1D1A"/>
    <w:rsid w:val="005F1EEA"/>
    <w:rsid w:val="005F21B5"/>
    <w:rsid w:val="005F23A9"/>
    <w:rsid w:val="005F2FDF"/>
    <w:rsid w:val="005F3144"/>
    <w:rsid w:val="005F32CA"/>
    <w:rsid w:val="005F35A4"/>
    <w:rsid w:val="005F37BC"/>
    <w:rsid w:val="005F39EB"/>
    <w:rsid w:val="005F440C"/>
    <w:rsid w:val="005F46A6"/>
    <w:rsid w:val="005F47E9"/>
    <w:rsid w:val="005F4AE9"/>
    <w:rsid w:val="005F4DE1"/>
    <w:rsid w:val="005F507E"/>
    <w:rsid w:val="005F536F"/>
    <w:rsid w:val="005F5718"/>
    <w:rsid w:val="005F5845"/>
    <w:rsid w:val="005F589E"/>
    <w:rsid w:val="005F5AC6"/>
    <w:rsid w:val="005F5F9D"/>
    <w:rsid w:val="005F5FF0"/>
    <w:rsid w:val="005F6073"/>
    <w:rsid w:val="005F623F"/>
    <w:rsid w:val="005F6516"/>
    <w:rsid w:val="005F6632"/>
    <w:rsid w:val="005F68A9"/>
    <w:rsid w:val="005F6BCE"/>
    <w:rsid w:val="005F6F68"/>
    <w:rsid w:val="005F72C6"/>
    <w:rsid w:val="005F7770"/>
    <w:rsid w:val="005F783E"/>
    <w:rsid w:val="005F7CB1"/>
    <w:rsid w:val="00600367"/>
    <w:rsid w:val="00600B91"/>
    <w:rsid w:val="00600BD2"/>
    <w:rsid w:val="006013A9"/>
    <w:rsid w:val="0060175D"/>
    <w:rsid w:val="0060180F"/>
    <w:rsid w:val="00601AD2"/>
    <w:rsid w:val="00601EF5"/>
    <w:rsid w:val="00601F92"/>
    <w:rsid w:val="00601FB0"/>
    <w:rsid w:val="00602572"/>
    <w:rsid w:val="00602887"/>
    <w:rsid w:val="00602A57"/>
    <w:rsid w:val="00602B1D"/>
    <w:rsid w:val="00602C2E"/>
    <w:rsid w:val="00603030"/>
    <w:rsid w:val="00603DB1"/>
    <w:rsid w:val="006040C4"/>
    <w:rsid w:val="00604318"/>
    <w:rsid w:val="00604508"/>
    <w:rsid w:val="00604727"/>
    <w:rsid w:val="00604815"/>
    <w:rsid w:val="00604CF6"/>
    <w:rsid w:val="00604EF0"/>
    <w:rsid w:val="00605404"/>
    <w:rsid w:val="006057B9"/>
    <w:rsid w:val="00605D06"/>
    <w:rsid w:val="00605F40"/>
    <w:rsid w:val="006060A1"/>
    <w:rsid w:val="0060619E"/>
    <w:rsid w:val="006064EC"/>
    <w:rsid w:val="006069CB"/>
    <w:rsid w:val="00606E31"/>
    <w:rsid w:val="00606E3D"/>
    <w:rsid w:val="00607991"/>
    <w:rsid w:val="00607B11"/>
    <w:rsid w:val="00607BE7"/>
    <w:rsid w:val="00607ED8"/>
    <w:rsid w:val="0061012D"/>
    <w:rsid w:val="006103BB"/>
    <w:rsid w:val="006104A9"/>
    <w:rsid w:val="00610E22"/>
    <w:rsid w:val="00610E2F"/>
    <w:rsid w:val="006117B0"/>
    <w:rsid w:val="006117C0"/>
    <w:rsid w:val="006118E5"/>
    <w:rsid w:val="00611AF1"/>
    <w:rsid w:val="00611B8F"/>
    <w:rsid w:val="00611CBD"/>
    <w:rsid w:val="006120FB"/>
    <w:rsid w:val="006124EF"/>
    <w:rsid w:val="00612748"/>
    <w:rsid w:val="006129C2"/>
    <w:rsid w:val="00612A0A"/>
    <w:rsid w:val="00612A20"/>
    <w:rsid w:val="00612CAA"/>
    <w:rsid w:val="00612E86"/>
    <w:rsid w:val="006131C4"/>
    <w:rsid w:val="006132FD"/>
    <w:rsid w:val="0061350F"/>
    <w:rsid w:val="00613552"/>
    <w:rsid w:val="00613699"/>
    <w:rsid w:val="00613B14"/>
    <w:rsid w:val="00613F6F"/>
    <w:rsid w:val="006141C9"/>
    <w:rsid w:val="00614B16"/>
    <w:rsid w:val="00614D6E"/>
    <w:rsid w:val="00615153"/>
    <w:rsid w:val="00615353"/>
    <w:rsid w:val="006153D7"/>
    <w:rsid w:val="0061552A"/>
    <w:rsid w:val="006156B0"/>
    <w:rsid w:val="00615E55"/>
    <w:rsid w:val="006160D3"/>
    <w:rsid w:val="00616193"/>
    <w:rsid w:val="00616727"/>
    <w:rsid w:val="00616D60"/>
    <w:rsid w:val="00616E08"/>
    <w:rsid w:val="00616E48"/>
    <w:rsid w:val="00616FD2"/>
    <w:rsid w:val="00617037"/>
    <w:rsid w:val="0061765A"/>
    <w:rsid w:val="006177B8"/>
    <w:rsid w:val="006178CA"/>
    <w:rsid w:val="00617AE9"/>
    <w:rsid w:val="00617F6B"/>
    <w:rsid w:val="006202E8"/>
    <w:rsid w:val="006207BD"/>
    <w:rsid w:val="00620A14"/>
    <w:rsid w:val="00620BBA"/>
    <w:rsid w:val="00620C5B"/>
    <w:rsid w:val="00620DD7"/>
    <w:rsid w:val="00620E87"/>
    <w:rsid w:val="00620F79"/>
    <w:rsid w:val="00621310"/>
    <w:rsid w:val="00621482"/>
    <w:rsid w:val="006215A5"/>
    <w:rsid w:val="006215ED"/>
    <w:rsid w:val="0062165A"/>
    <w:rsid w:val="0062174F"/>
    <w:rsid w:val="00621834"/>
    <w:rsid w:val="00621B6B"/>
    <w:rsid w:val="00621B73"/>
    <w:rsid w:val="00621BEA"/>
    <w:rsid w:val="006226E5"/>
    <w:rsid w:val="006228A8"/>
    <w:rsid w:val="006231BD"/>
    <w:rsid w:val="0062333C"/>
    <w:rsid w:val="006237B7"/>
    <w:rsid w:val="006239A5"/>
    <w:rsid w:val="00623D71"/>
    <w:rsid w:val="006240EA"/>
    <w:rsid w:val="00624343"/>
    <w:rsid w:val="0062455C"/>
    <w:rsid w:val="00624948"/>
    <w:rsid w:val="00624954"/>
    <w:rsid w:val="00624AFE"/>
    <w:rsid w:val="0062528A"/>
    <w:rsid w:val="00625689"/>
    <w:rsid w:val="0062581E"/>
    <w:rsid w:val="00625EA3"/>
    <w:rsid w:val="00625EBE"/>
    <w:rsid w:val="006266EA"/>
    <w:rsid w:val="00626A8B"/>
    <w:rsid w:val="00626B7A"/>
    <w:rsid w:val="00626C84"/>
    <w:rsid w:val="00627275"/>
    <w:rsid w:val="0062753F"/>
    <w:rsid w:val="006275C1"/>
    <w:rsid w:val="00627919"/>
    <w:rsid w:val="006279CD"/>
    <w:rsid w:val="00627A16"/>
    <w:rsid w:val="00627A1E"/>
    <w:rsid w:val="00627AD1"/>
    <w:rsid w:val="00627E5D"/>
    <w:rsid w:val="00627F4E"/>
    <w:rsid w:val="006300DF"/>
    <w:rsid w:val="0063092B"/>
    <w:rsid w:val="00630A62"/>
    <w:rsid w:val="00630CF6"/>
    <w:rsid w:val="00630D67"/>
    <w:rsid w:val="00631223"/>
    <w:rsid w:val="006319C5"/>
    <w:rsid w:val="006324E6"/>
    <w:rsid w:val="00632733"/>
    <w:rsid w:val="00632751"/>
    <w:rsid w:val="00632B39"/>
    <w:rsid w:val="00632B44"/>
    <w:rsid w:val="00632C2B"/>
    <w:rsid w:val="00632C38"/>
    <w:rsid w:val="00632EA6"/>
    <w:rsid w:val="006330C2"/>
    <w:rsid w:val="00633130"/>
    <w:rsid w:val="006334E0"/>
    <w:rsid w:val="0063362E"/>
    <w:rsid w:val="006338E7"/>
    <w:rsid w:val="00633A33"/>
    <w:rsid w:val="00633E3D"/>
    <w:rsid w:val="00634031"/>
    <w:rsid w:val="00634270"/>
    <w:rsid w:val="006344AA"/>
    <w:rsid w:val="00634B21"/>
    <w:rsid w:val="00634FB9"/>
    <w:rsid w:val="00635925"/>
    <w:rsid w:val="00635B92"/>
    <w:rsid w:val="00635E32"/>
    <w:rsid w:val="0063619E"/>
    <w:rsid w:val="00636557"/>
    <w:rsid w:val="00636CE2"/>
    <w:rsid w:val="006370C6"/>
    <w:rsid w:val="006376FD"/>
    <w:rsid w:val="00637964"/>
    <w:rsid w:val="00637AE9"/>
    <w:rsid w:val="00637BD5"/>
    <w:rsid w:val="00637CF1"/>
    <w:rsid w:val="00637D9D"/>
    <w:rsid w:val="00637E6B"/>
    <w:rsid w:val="006403B2"/>
    <w:rsid w:val="006405AA"/>
    <w:rsid w:val="00640900"/>
    <w:rsid w:val="00640CEE"/>
    <w:rsid w:val="00640E69"/>
    <w:rsid w:val="00640E87"/>
    <w:rsid w:val="0064181A"/>
    <w:rsid w:val="00641C19"/>
    <w:rsid w:val="00641D3D"/>
    <w:rsid w:val="00642285"/>
    <w:rsid w:val="006422C4"/>
    <w:rsid w:val="00642316"/>
    <w:rsid w:val="006423BB"/>
    <w:rsid w:val="00642652"/>
    <w:rsid w:val="0064309D"/>
    <w:rsid w:val="006433CB"/>
    <w:rsid w:val="0064340E"/>
    <w:rsid w:val="00643724"/>
    <w:rsid w:val="0064390B"/>
    <w:rsid w:val="006439E3"/>
    <w:rsid w:val="00643B57"/>
    <w:rsid w:val="00643BAA"/>
    <w:rsid w:val="00643F65"/>
    <w:rsid w:val="0064468D"/>
    <w:rsid w:val="006448B7"/>
    <w:rsid w:val="00644961"/>
    <w:rsid w:val="00644AE8"/>
    <w:rsid w:val="00644E26"/>
    <w:rsid w:val="00644ED0"/>
    <w:rsid w:val="00645080"/>
    <w:rsid w:val="0064517A"/>
    <w:rsid w:val="006457B9"/>
    <w:rsid w:val="00645DC7"/>
    <w:rsid w:val="006462A1"/>
    <w:rsid w:val="006465C2"/>
    <w:rsid w:val="00646945"/>
    <w:rsid w:val="00646A99"/>
    <w:rsid w:val="00646C22"/>
    <w:rsid w:val="00646D06"/>
    <w:rsid w:val="00646D7D"/>
    <w:rsid w:val="00646F09"/>
    <w:rsid w:val="00647060"/>
    <w:rsid w:val="00647088"/>
    <w:rsid w:val="00647189"/>
    <w:rsid w:val="00647324"/>
    <w:rsid w:val="00647665"/>
    <w:rsid w:val="00647F25"/>
    <w:rsid w:val="0065003F"/>
    <w:rsid w:val="00650393"/>
    <w:rsid w:val="00650639"/>
    <w:rsid w:val="0065084C"/>
    <w:rsid w:val="00650A0E"/>
    <w:rsid w:val="00650A40"/>
    <w:rsid w:val="00650D34"/>
    <w:rsid w:val="00650DBE"/>
    <w:rsid w:val="00650FE9"/>
    <w:rsid w:val="00650FFD"/>
    <w:rsid w:val="006513D3"/>
    <w:rsid w:val="00651771"/>
    <w:rsid w:val="00651BBD"/>
    <w:rsid w:val="00651C5C"/>
    <w:rsid w:val="00652164"/>
    <w:rsid w:val="0065240B"/>
    <w:rsid w:val="00652580"/>
    <w:rsid w:val="006526BC"/>
    <w:rsid w:val="00652CD4"/>
    <w:rsid w:val="00652CE3"/>
    <w:rsid w:val="00652E40"/>
    <w:rsid w:val="00652E9E"/>
    <w:rsid w:val="006533C9"/>
    <w:rsid w:val="00653536"/>
    <w:rsid w:val="0065355D"/>
    <w:rsid w:val="006537D4"/>
    <w:rsid w:val="00653931"/>
    <w:rsid w:val="00653AA4"/>
    <w:rsid w:val="00653AA8"/>
    <w:rsid w:val="00653AD6"/>
    <w:rsid w:val="00653FB6"/>
    <w:rsid w:val="0065405E"/>
    <w:rsid w:val="00654591"/>
    <w:rsid w:val="006545F1"/>
    <w:rsid w:val="00654D3B"/>
    <w:rsid w:val="006551E0"/>
    <w:rsid w:val="006554BC"/>
    <w:rsid w:val="00655583"/>
    <w:rsid w:val="00655998"/>
    <w:rsid w:val="00655C20"/>
    <w:rsid w:val="006561DB"/>
    <w:rsid w:val="0065690F"/>
    <w:rsid w:val="00656EDF"/>
    <w:rsid w:val="00657079"/>
    <w:rsid w:val="006572E1"/>
    <w:rsid w:val="00657677"/>
    <w:rsid w:val="00657FA4"/>
    <w:rsid w:val="006600E2"/>
    <w:rsid w:val="006603DA"/>
    <w:rsid w:val="0066069B"/>
    <w:rsid w:val="006607C4"/>
    <w:rsid w:val="0066135B"/>
    <w:rsid w:val="00661503"/>
    <w:rsid w:val="00661619"/>
    <w:rsid w:val="006616F0"/>
    <w:rsid w:val="00661712"/>
    <w:rsid w:val="00661828"/>
    <w:rsid w:val="006618AD"/>
    <w:rsid w:val="0066204F"/>
    <w:rsid w:val="00662330"/>
    <w:rsid w:val="0066236D"/>
    <w:rsid w:val="006624A2"/>
    <w:rsid w:val="0066250C"/>
    <w:rsid w:val="00662544"/>
    <w:rsid w:val="00662984"/>
    <w:rsid w:val="00662A54"/>
    <w:rsid w:val="00662D0D"/>
    <w:rsid w:val="006636D0"/>
    <w:rsid w:val="006640AE"/>
    <w:rsid w:val="006647DC"/>
    <w:rsid w:val="00664A3A"/>
    <w:rsid w:val="00664E29"/>
    <w:rsid w:val="00664E71"/>
    <w:rsid w:val="00665033"/>
    <w:rsid w:val="006651DA"/>
    <w:rsid w:val="00665245"/>
    <w:rsid w:val="006653ED"/>
    <w:rsid w:val="00665443"/>
    <w:rsid w:val="00665BF8"/>
    <w:rsid w:val="00665D00"/>
    <w:rsid w:val="00666594"/>
    <w:rsid w:val="00666727"/>
    <w:rsid w:val="0066680D"/>
    <w:rsid w:val="00666B60"/>
    <w:rsid w:val="00666BA7"/>
    <w:rsid w:val="00667152"/>
    <w:rsid w:val="006678B3"/>
    <w:rsid w:val="00667B4A"/>
    <w:rsid w:val="00667E39"/>
    <w:rsid w:val="006700F2"/>
    <w:rsid w:val="0067054B"/>
    <w:rsid w:val="0067080A"/>
    <w:rsid w:val="00670980"/>
    <w:rsid w:val="00671581"/>
    <w:rsid w:val="006717B8"/>
    <w:rsid w:val="00671895"/>
    <w:rsid w:val="00671919"/>
    <w:rsid w:val="00671D38"/>
    <w:rsid w:val="00671E06"/>
    <w:rsid w:val="006720CF"/>
    <w:rsid w:val="006729A0"/>
    <w:rsid w:val="00672A8C"/>
    <w:rsid w:val="00672C65"/>
    <w:rsid w:val="00672D77"/>
    <w:rsid w:val="0067324B"/>
    <w:rsid w:val="0067394C"/>
    <w:rsid w:val="00673AD5"/>
    <w:rsid w:val="00673BF6"/>
    <w:rsid w:val="00673E16"/>
    <w:rsid w:val="00674389"/>
    <w:rsid w:val="006745FA"/>
    <w:rsid w:val="00674680"/>
    <w:rsid w:val="00674797"/>
    <w:rsid w:val="00674E0F"/>
    <w:rsid w:val="00674FE6"/>
    <w:rsid w:val="00675540"/>
    <w:rsid w:val="00675970"/>
    <w:rsid w:val="00675B35"/>
    <w:rsid w:val="00675BA1"/>
    <w:rsid w:val="00675BAF"/>
    <w:rsid w:val="00675C60"/>
    <w:rsid w:val="0067623B"/>
    <w:rsid w:val="006764C5"/>
    <w:rsid w:val="006765DD"/>
    <w:rsid w:val="00676CEE"/>
    <w:rsid w:val="00677063"/>
    <w:rsid w:val="006771A8"/>
    <w:rsid w:val="006775F6"/>
    <w:rsid w:val="0068000C"/>
    <w:rsid w:val="006804F2"/>
    <w:rsid w:val="00680668"/>
    <w:rsid w:val="006806F8"/>
    <w:rsid w:val="006807DA"/>
    <w:rsid w:val="00680A19"/>
    <w:rsid w:val="00680C37"/>
    <w:rsid w:val="00680D51"/>
    <w:rsid w:val="00680D82"/>
    <w:rsid w:val="00681360"/>
    <w:rsid w:val="0068188C"/>
    <w:rsid w:val="00681F8D"/>
    <w:rsid w:val="0068241E"/>
    <w:rsid w:val="00682464"/>
    <w:rsid w:val="006829CE"/>
    <w:rsid w:val="00682A79"/>
    <w:rsid w:val="00682B98"/>
    <w:rsid w:val="00683024"/>
    <w:rsid w:val="0068362B"/>
    <w:rsid w:val="00684AC0"/>
    <w:rsid w:val="00684B29"/>
    <w:rsid w:val="00684C80"/>
    <w:rsid w:val="00684E4B"/>
    <w:rsid w:val="006853DE"/>
    <w:rsid w:val="00685A21"/>
    <w:rsid w:val="00685F3E"/>
    <w:rsid w:val="006867B8"/>
    <w:rsid w:val="00686B76"/>
    <w:rsid w:val="00686E01"/>
    <w:rsid w:val="0068706B"/>
    <w:rsid w:val="00687270"/>
    <w:rsid w:val="00687D5F"/>
    <w:rsid w:val="00690CEC"/>
    <w:rsid w:val="00690DDC"/>
    <w:rsid w:val="00690E5B"/>
    <w:rsid w:val="00690F79"/>
    <w:rsid w:val="00691714"/>
    <w:rsid w:val="006917B6"/>
    <w:rsid w:val="00691A15"/>
    <w:rsid w:val="00691C7F"/>
    <w:rsid w:val="00691D7F"/>
    <w:rsid w:val="00691DEB"/>
    <w:rsid w:val="0069204E"/>
    <w:rsid w:val="0069257F"/>
    <w:rsid w:val="006925A8"/>
    <w:rsid w:val="006925F5"/>
    <w:rsid w:val="0069310E"/>
    <w:rsid w:val="0069367A"/>
    <w:rsid w:val="00694176"/>
    <w:rsid w:val="006944C6"/>
    <w:rsid w:val="00694562"/>
    <w:rsid w:val="006946F2"/>
    <w:rsid w:val="00694E45"/>
    <w:rsid w:val="0069543D"/>
    <w:rsid w:val="00695643"/>
    <w:rsid w:val="00695CE8"/>
    <w:rsid w:val="00696652"/>
    <w:rsid w:val="00696761"/>
    <w:rsid w:val="006969EC"/>
    <w:rsid w:val="00696C81"/>
    <w:rsid w:val="00696D10"/>
    <w:rsid w:val="00696F44"/>
    <w:rsid w:val="00697006"/>
    <w:rsid w:val="006972C4"/>
    <w:rsid w:val="006A0277"/>
    <w:rsid w:val="006A0372"/>
    <w:rsid w:val="006A051C"/>
    <w:rsid w:val="006A07B2"/>
    <w:rsid w:val="006A082D"/>
    <w:rsid w:val="006A0A74"/>
    <w:rsid w:val="006A0CC3"/>
    <w:rsid w:val="006A0D04"/>
    <w:rsid w:val="006A1325"/>
    <w:rsid w:val="006A1364"/>
    <w:rsid w:val="006A1697"/>
    <w:rsid w:val="006A1EB7"/>
    <w:rsid w:val="006A2221"/>
    <w:rsid w:val="006A267E"/>
    <w:rsid w:val="006A28C1"/>
    <w:rsid w:val="006A2B09"/>
    <w:rsid w:val="006A2B7B"/>
    <w:rsid w:val="006A2BF8"/>
    <w:rsid w:val="006A2D4D"/>
    <w:rsid w:val="006A324F"/>
    <w:rsid w:val="006A3290"/>
    <w:rsid w:val="006A3756"/>
    <w:rsid w:val="006A38A4"/>
    <w:rsid w:val="006A3D8E"/>
    <w:rsid w:val="006A3DEA"/>
    <w:rsid w:val="006A3EB5"/>
    <w:rsid w:val="006A4476"/>
    <w:rsid w:val="006A4CC5"/>
    <w:rsid w:val="006A57E1"/>
    <w:rsid w:val="006A57E8"/>
    <w:rsid w:val="006A60C8"/>
    <w:rsid w:val="006A6530"/>
    <w:rsid w:val="006A6E2B"/>
    <w:rsid w:val="006A6F88"/>
    <w:rsid w:val="006A7128"/>
    <w:rsid w:val="006A736C"/>
    <w:rsid w:val="006A7436"/>
    <w:rsid w:val="006A7740"/>
    <w:rsid w:val="006A7C50"/>
    <w:rsid w:val="006A7F39"/>
    <w:rsid w:val="006A7F6B"/>
    <w:rsid w:val="006B0082"/>
    <w:rsid w:val="006B018F"/>
    <w:rsid w:val="006B02F4"/>
    <w:rsid w:val="006B0342"/>
    <w:rsid w:val="006B04BC"/>
    <w:rsid w:val="006B0CF2"/>
    <w:rsid w:val="006B11DC"/>
    <w:rsid w:val="006B15D2"/>
    <w:rsid w:val="006B17C7"/>
    <w:rsid w:val="006B1F7B"/>
    <w:rsid w:val="006B227E"/>
    <w:rsid w:val="006B23E0"/>
    <w:rsid w:val="006B27D4"/>
    <w:rsid w:val="006B2F36"/>
    <w:rsid w:val="006B3289"/>
    <w:rsid w:val="006B374E"/>
    <w:rsid w:val="006B3CA7"/>
    <w:rsid w:val="006B40A4"/>
    <w:rsid w:val="006B4238"/>
    <w:rsid w:val="006B4866"/>
    <w:rsid w:val="006B4A04"/>
    <w:rsid w:val="006B50DF"/>
    <w:rsid w:val="006B58D7"/>
    <w:rsid w:val="006B5AA0"/>
    <w:rsid w:val="006B5CA7"/>
    <w:rsid w:val="006B60E7"/>
    <w:rsid w:val="006B6285"/>
    <w:rsid w:val="006B6407"/>
    <w:rsid w:val="006B6B5A"/>
    <w:rsid w:val="006B6FAA"/>
    <w:rsid w:val="006B7167"/>
    <w:rsid w:val="006B74DB"/>
    <w:rsid w:val="006B7546"/>
    <w:rsid w:val="006B7A22"/>
    <w:rsid w:val="006C05D8"/>
    <w:rsid w:val="006C0ACF"/>
    <w:rsid w:val="006C0EF5"/>
    <w:rsid w:val="006C0FD0"/>
    <w:rsid w:val="006C117D"/>
    <w:rsid w:val="006C12B2"/>
    <w:rsid w:val="006C15FA"/>
    <w:rsid w:val="006C1661"/>
    <w:rsid w:val="006C1969"/>
    <w:rsid w:val="006C1A2C"/>
    <w:rsid w:val="006C1AC6"/>
    <w:rsid w:val="006C21B1"/>
    <w:rsid w:val="006C223B"/>
    <w:rsid w:val="006C2536"/>
    <w:rsid w:val="006C26C5"/>
    <w:rsid w:val="006C2705"/>
    <w:rsid w:val="006C2939"/>
    <w:rsid w:val="006C2B2A"/>
    <w:rsid w:val="006C2DB7"/>
    <w:rsid w:val="006C2F34"/>
    <w:rsid w:val="006C2FF1"/>
    <w:rsid w:val="006C32D4"/>
    <w:rsid w:val="006C332F"/>
    <w:rsid w:val="006C39F0"/>
    <w:rsid w:val="006C3ABF"/>
    <w:rsid w:val="006C3C29"/>
    <w:rsid w:val="006C4035"/>
    <w:rsid w:val="006C436B"/>
    <w:rsid w:val="006C43CE"/>
    <w:rsid w:val="006C450C"/>
    <w:rsid w:val="006C461B"/>
    <w:rsid w:val="006C4C1A"/>
    <w:rsid w:val="006C53D0"/>
    <w:rsid w:val="006C580F"/>
    <w:rsid w:val="006C5DF0"/>
    <w:rsid w:val="006C5E68"/>
    <w:rsid w:val="006C6327"/>
    <w:rsid w:val="006C6372"/>
    <w:rsid w:val="006C64F6"/>
    <w:rsid w:val="006C65BE"/>
    <w:rsid w:val="006C66B3"/>
    <w:rsid w:val="006C7027"/>
    <w:rsid w:val="006C708A"/>
    <w:rsid w:val="006C7346"/>
    <w:rsid w:val="006C73AA"/>
    <w:rsid w:val="006C7446"/>
    <w:rsid w:val="006C7BE6"/>
    <w:rsid w:val="006C7E54"/>
    <w:rsid w:val="006D00EF"/>
    <w:rsid w:val="006D0910"/>
    <w:rsid w:val="006D0CB2"/>
    <w:rsid w:val="006D0F2D"/>
    <w:rsid w:val="006D19D1"/>
    <w:rsid w:val="006D1D9C"/>
    <w:rsid w:val="006D2028"/>
    <w:rsid w:val="006D2387"/>
    <w:rsid w:val="006D27F3"/>
    <w:rsid w:val="006D28A5"/>
    <w:rsid w:val="006D2BEF"/>
    <w:rsid w:val="006D30BB"/>
    <w:rsid w:val="006D3256"/>
    <w:rsid w:val="006D3607"/>
    <w:rsid w:val="006D3864"/>
    <w:rsid w:val="006D3A8B"/>
    <w:rsid w:val="006D3C05"/>
    <w:rsid w:val="006D4E40"/>
    <w:rsid w:val="006D4F38"/>
    <w:rsid w:val="006D53DF"/>
    <w:rsid w:val="006D5AA1"/>
    <w:rsid w:val="006D5C0A"/>
    <w:rsid w:val="006D5EBD"/>
    <w:rsid w:val="006D61ED"/>
    <w:rsid w:val="006D6390"/>
    <w:rsid w:val="006D67FF"/>
    <w:rsid w:val="006D6990"/>
    <w:rsid w:val="006D7201"/>
    <w:rsid w:val="006D73A6"/>
    <w:rsid w:val="006D75DB"/>
    <w:rsid w:val="006D760B"/>
    <w:rsid w:val="006D7695"/>
    <w:rsid w:val="006D7A7F"/>
    <w:rsid w:val="006D7E8A"/>
    <w:rsid w:val="006E00B4"/>
    <w:rsid w:val="006E035D"/>
    <w:rsid w:val="006E081A"/>
    <w:rsid w:val="006E09FA"/>
    <w:rsid w:val="006E0F6F"/>
    <w:rsid w:val="006E1342"/>
    <w:rsid w:val="006E1783"/>
    <w:rsid w:val="006E1AD1"/>
    <w:rsid w:val="006E1C18"/>
    <w:rsid w:val="006E1D2C"/>
    <w:rsid w:val="006E1D9A"/>
    <w:rsid w:val="006E1E95"/>
    <w:rsid w:val="006E1FA8"/>
    <w:rsid w:val="006E2074"/>
    <w:rsid w:val="006E20C6"/>
    <w:rsid w:val="006E2166"/>
    <w:rsid w:val="006E23F2"/>
    <w:rsid w:val="006E2D98"/>
    <w:rsid w:val="006E3096"/>
    <w:rsid w:val="006E353C"/>
    <w:rsid w:val="006E3AAE"/>
    <w:rsid w:val="006E4B54"/>
    <w:rsid w:val="006E4BF6"/>
    <w:rsid w:val="006E4EC3"/>
    <w:rsid w:val="006E50D8"/>
    <w:rsid w:val="006E55D1"/>
    <w:rsid w:val="006E5642"/>
    <w:rsid w:val="006E5726"/>
    <w:rsid w:val="006E5C49"/>
    <w:rsid w:val="006E6879"/>
    <w:rsid w:val="006E7185"/>
    <w:rsid w:val="006E73E1"/>
    <w:rsid w:val="006E7852"/>
    <w:rsid w:val="006E7883"/>
    <w:rsid w:val="006E799D"/>
    <w:rsid w:val="006E7CE7"/>
    <w:rsid w:val="006F0327"/>
    <w:rsid w:val="006F087E"/>
    <w:rsid w:val="006F09C1"/>
    <w:rsid w:val="006F0DFB"/>
    <w:rsid w:val="006F11AB"/>
    <w:rsid w:val="006F12C1"/>
    <w:rsid w:val="006F133C"/>
    <w:rsid w:val="006F1DC9"/>
    <w:rsid w:val="006F256B"/>
    <w:rsid w:val="006F26D7"/>
    <w:rsid w:val="006F2B46"/>
    <w:rsid w:val="006F351C"/>
    <w:rsid w:val="006F37E0"/>
    <w:rsid w:val="006F3859"/>
    <w:rsid w:val="006F3966"/>
    <w:rsid w:val="006F3AF8"/>
    <w:rsid w:val="006F3BFA"/>
    <w:rsid w:val="006F3C5A"/>
    <w:rsid w:val="006F3DEE"/>
    <w:rsid w:val="006F4767"/>
    <w:rsid w:val="006F49C6"/>
    <w:rsid w:val="006F4E47"/>
    <w:rsid w:val="006F50D8"/>
    <w:rsid w:val="006F559B"/>
    <w:rsid w:val="006F5FC0"/>
    <w:rsid w:val="006F6039"/>
    <w:rsid w:val="006F6B40"/>
    <w:rsid w:val="006F6D10"/>
    <w:rsid w:val="006F7314"/>
    <w:rsid w:val="006F737D"/>
    <w:rsid w:val="006F75DE"/>
    <w:rsid w:val="006F78D1"/>
    <w:rsid w:val="006F799F"/>
    <w:rsid w:val="006F7E89"/>
    <w:rsid w:val="007002ED"/>
    <w:rsid w:val="007004E6"/>
    <w:rsid w:val="00700C16"/>
    <w:rsid w:val="00700CF1"/>
    <w:rsid w:val="0070109B"/>
    <w:rsid w:val="0070109D"/>
    <w:rsid w:val="007011E3"/>
    <w:rsid w:val="007012AC"/>
    <w:rsid w:val="00701794"/>
    <w:rsid w:val="00702095"/>
    <w:rsid w:val="0070240D"/>
    <w:rsid w:val="00702434"/>
    <w:rsid w:val="0070285E"/>
    <w:rsid w:val="00702A29"/>
    <w:rsid w:val="00702D38"/>
    <w:rsid w:val="00702F17"/>
    <w:rsid w:val="0070411A"/>
    <w:rsid w:val="007041EA"/>
    <w:rsid w:val="00704300"/>
    <w:rsid w:val="00704D4E"/>
    <w:rsid w:val="00704E58"/>
    <w:rsid w:val="0070519E"/>
    <w:rsid w:val="00705596"/>
    <w:rsid w:val="007057A1"/>
    <w:rsid w:val="00705850"/>
    <w:rsid w:val="00705D6C"/>
    <w:rsid w:val="00705F77"/>
    <w:rsid w:val="00706027"/>
    <w:rsid w:val="0070647E"/>
    <w:rsid w:val="0070649B"/>
    <w:rsid w:val="00706831"/>
    <w:rsid w:val="0070699E"/>
    <w:rsid w:val="007069B2"/>
    <w:rsid w:val="00706E59"/>
    <w:rsid w:val="007077B0"/>
    <w:rsid w:val="007078FD"/>
    <w:rsid w:val="00707A95"/>
    <w:rsid w:val="00707BC2"/>
    <w:rsid w:val="00707DAC"/>
    <w:rsid w:val="007102C7"/>
    <w:rsid w:val="00710496"/>
    <w:rsid w:val="00710713"/>
    <w:rsid w:val="007107A5"/>
    <w:rsid w:val="007107E8"/>
    <w:rsid w:val="0071082C"/>
    <w:rsid w:val="00710CAA"/>
    <w:rsid w:val="00710FCB"/>
    <w:rsid w:val="0071120D"/>
    <w:rsid w:val="00711476"/>
    <w:rsid w:val="00711598"/>
    <w:rsid w:val="00711C57"/>
    <w:rsid w:val="007121B8"/>
    <w:rsid w:val="0071248A"/>
    <w:rsid w:val="00712799"/>
    <w:rsid w:val="00712990"/>
    <w:rsid w:val="00712A48"/>
    <w:rsid w:val="00712DB8"/>
    <w:rsid w:val="00713037"/>
    <w:rsid w:val="0071363C"/>
    <w:rsid w:val="00713CB1"/>
    <w:rsid w:val="007147FF"/>
    <w:rsid w:val="00714A09"/>
    <w:rsid w:val="00714D78"/>
    <w:rsid w:val="00715877"/>
    <w:rsid w:val="007159F4"/>
    <w:rsid w:val="00715A15"/>
    <w:rsid w:val="00715BF2"/>
    <w:rsid w:val="00715D03"/>
    <w:rsid w:val="0071601E"/>
    <w:rsid w:val="0071626B"/>
    <w:rsid w:val="00716270"/>
    <w:rsid w:val="00716A01"/>
    <w:rsid w:val="00716B5C"/>
    <w:rsid w:val="00716C13"/>
    <w:rsid w:val="00716C83"/>
    <w:rsid w:val="007170D4"/>
    <w:rsid w:val="007171F7"/>
    <w:rsid w:val="007175FE"/>
    <w:rsid w:val="00717A24"/>
    <w:rsid w:val="00717B85"/>
    <w:rsid w:val="00717D48"/>
    <w:rsid w:val="00717F22"/>
    <w:rsid w:val="00717F8A"/>
    <w:rsid w:val="00720032"/>
    <w:rsid w:val="007203B8"/>
    <w:rsid w:val="007204D2"/>
    <w:rsid w:val="00720600"/>
    <w:rsid w:val="0072067A"/>
    <w:rsid w:val="0072082E"/>
    <w:rsid w:val="0072087A"/>
    <w:rsid w:val="00720888"/>
    <w:rsid w:val="00720A50"/>
    <w:rsid w:val="007215FD"/>
    <w:rsid w:val="00721C69"/>
    <w:rsid w:val="00721DAF"/>
    <w:rsid w:val="00722298"/>
    <w:rsid w:val="0072240B"/>
    <w:rsid w:val="00722A03"/>
    <w:rsid w:val="00722B4C"/>
    <w:rsid w:val="00722CEF"/>
    <w:rsid w:val="00722D61"/>
    <w:rsid w:val="00722E61"/>
    <w:rsid w:val="00722EFF"/>
    <w:rsid w:val="00722FE2"/>
    <w:rsid w:val="007232AC"/>
    <w:rsid w:val="007234D0"/>
    <w:rsid w:val="007241AC"/>
    <w:rsid w:val="00724487"/>
    <w:rsid w:val="00724937"/>
    <w:rsid w:val="00724A6C"/>
    <w:rsid w:val="00725045"/>
    <w:rsid w:val="00725112"/>
    <w:rsid w:val="007252BC"/>
    <w:rsid w:val="007259D5"/>
    <w:rsid w:val="00725EB5"/>
    <w:rsid w:val="0072606C"/>
    <w:rsid w:val="007263CA"/>
    <w:rsid w:val="007264F6"/>
    <w:rsid w:val="00726916"/>
    <w:rsid w:val="00726AC7"/>
    <w:rsid w:val="00726F01"/>
    <w:rsid w:val="00727054"/>
    <w:rsid w:val="007275F7"/>
    <w:rsid w:val="0072761B"/>
    <w:rsid w:val="0072767D"/>
    <w:rsid w:val="00727B1A"/>
    <w:rsid w:val="00727CB3"/>
    <w:rsid w:val="00727E28"/>
    <w:rsid w:val="007306B7"/>
    <w:rsid w:val="007309DA"/>
    <w:rsid w:val="00730AD0"/>
    <w:rsid w:val="00730B36"/>
    <w:rsid w:val="00730B4D"/>
    <w:rsid w:val="00731109"/>
    <w:rsid w:val="00731349"/>
    <w:rsid w:val="00731391"/>
    <w:rsid w:val="0073197B"/>
    <w:rsid w:val="007324FC"/>
    <w:rsid w:val="00732B87"/>
    <w:rsid w:val="00732C0C"/>
    <w:rsid w:val="00732C32"/>
    <w:rsid w:val="00732E6F"/>
    <w:rsid w:val="007334DA"/>
    <w:rsid w:val="0073361F"/>
    <w:rsid w:val="007338F5"/>
    <w:rsid w:val="00733AFF"/>
    <w:rsid w:val="007344CC"/>
    <w:rsid w:val="0073496A"/>
    <w:rsid w:val="0073569A"/>
    <w:rsid w:val="00735841"/>
    <w:rsid w:val="0073586A"/>
    <w:rsid w:val="00735A6A"/>
    <w:rsid w:val="00735DDD"/>
    <w:rsid w:val="00735E61"/>
    <w:rsid w:val="00735EF1"/>
    <w:rsid w:val="00735F75"/>
    <w:rsid w:val="007361CA"/>
    <w:rsid w:val="007361E0"/>
    <w:rsid w:val="007367BC"/>
    <w:rsid w:val="00736F1A"/>
    <w:rsid w:val="00736F81"/>
    <w:rsid w:val="00736FBB"/>
    <w:rsid w:val="00737317"/>
    <w:rsid w:val="00737400"/>
    <w:rsid w:val="007374CF"/>
    <w:rsid w:val="0073764B"/>
    <w:rsid w:val="007405E2"/>
    <w:rsid w:val="00740775"/>
    <w:rsid w:val="00740796"/>
    <w:rsid w:val="00740B54"/>
    <w:rsid w:val="00741053"/>
    <w:rsid w:val="007411E6"/>
    <w:rsid w:val="007412EE"/>
    <w:rsid w:val="00741C51"/>
    <w:rsid w:val="00741FE8"/>
    <w:rsid w:val="0074274D"/>
    <w:rsid w:val="00742914"/>
    <w:rsid w:val="00742AA1"/>
    <w:rsid w:val="00742BF3"/>
    <w:rsid w:val="00742D95"/>
    <w:rsid w:val="00742F79"/>
    <w:rsid w:val="0074304D"/>
    <w:rsid w:val="00743088"/>
    <w:rsid w:val="0074351F"/>
    <w:rsid w:val="0074374A"/>
    <w:rsid w:val="007438F4"/>
    <w:rsid w:val="00743C87"/>
    <w:rsid w:val="0074407D"/>
    <w:rsid w:val="0074411B"/>
    <w:rsid w:val="007441E2"/>
    <w:rsid w:val="00744FA6"/>
    <w:rsid w:val="00744FA9"/>
    <w:rsid w:val="00744FDD"/>
    <w:rsid w:val="0074533D"/>
    <w:rsid w:val="0074561A"/>
    <w:rsid w:val="0074565B"/>
    <w:rsid w:val="0074569F"/>
    <w:rsid w:val="00745931"/>
    <w:rsid w:val="00745DFB"/>
    <w:rsid w:val="0074613A"/>
    <w:rsid w:val="0074640F"/>
    <w:rsid w:val="007464CC"/>
    <w:rsid w:val="007469D1"/>
    <w:rsid w:val="00746CCB"/>
    <w:rsid w:val="00747227"/>
    <w:rsid w:val="00747274"/>
    <w:rsid w:val="0074748B"/>
    <w:rsid w:val="00747F35"/>
    <w:rsid w:val="0075008A"/>
    <w:rsid w:val="007503CB"/>
    <w:rsid w:val="00750659"/>
    <w:rsid w:val="007507D5"/>
    <w:rsid w:val="00750A84"/>
    <w:rsid w:val="00750B5E"/>
    <w:rsid w:val="00750D7F"/>
    <w:rsid w:val="00751253"/>
    <w:rsid w:val="00751277"/>
    <w:rsid w:val="00751353"/>
    <w:rsid w:val="0075170B"/>
    <w:rsid w:val="007517B4"/>
    <w:rsid w:val="00751C73"/>
    <w:rsid w:val="00752DFF"/>
    <w:rsid w:val="00753033"/>
    <w:rsid w:val="00753211"/>
    <w:rsid w:val="00753260"/>
    <w:rsid w:val="00753310"/>
    <w:rsid w:val="00753806"/>
    <w:rsid w:val="00753965"/>
    <w:rsid w:val="007539B2"/>
    <w:rsid w:val="007539CF"/>
    <w:rsid w:val="00753DC4"/>
    <w:rsid w:val="00753EFC"/>
    <w:rsid w:val="00754141"/>
    <w:rsid w:val="007542A0"/>
    <w:rsid w:val="0075473D"/>
    <w:rsid w:val="00754B26"/>
    <w:rsid w:val="00754C36"/>
    <w:rsid w:val="00754C85"/>
    <w:rsid w:val="00754CF2"/>
    <w:rsid w:val="00754D8A"/>
    <w:rsid w:val="007557FD"/>
    <w:rsid w:val="00755C25"/>
    <w:rsid w:val="00756125"/>
    <w:rsid w:val="00756458"/>
    <w:rsid w:val="00756FC2"/>
    <w:rsid w:val="00757155"/>
    <w:rsid w:val="007572FC"/>
    <w:rsid w:val="007573C2"/>
    <w:rsid w:val="007576C4"/>
    <w:rsid w:val="007604AB"/>
    <w:rsid w:val="00760950"/>
    <w:rsid w:val="00760CE9"/>
    <w:rsid w:val="00761091"/>
    <w:rsid w:val="0076157B"/>
    <w:rsid w:val="007616AC"/>
    <w:rsid w:val="007616EB"/>
    <w:rsid w:val="00761C09"/>
    <w:rsid w:val="00761EC6"/>
    <w:rsid w:val="00761FB9"/>
    <w:rsid w:val="00762218"/>
    <w:rsid w:val="007623A9"/>
    <w:rsid w:val="00762634"/>
    <w:rsid w:val="007627A8"/>
    <w:rsid w:val="007628F1"/>
    <w:rsid w:val="00762A5C"/>
    <w:rsid w:val="00762D51"/>
    <w:rsid w:val="00763251"/>
    <w:rsid w:val="007633B8"/>
    <w:rsid w:val="007633E2"/>
    <w:rsid w:val="007641B0"/>
    <w:rsid w:val="0076429D"/>
    <w:rsid w:val="00764446"/>
    <w:rsid w:val="0076464D"/>
    <w:rsid w:val="0076467B"/>
    <w:rsid w:val="00764AC1"/>
    <w:rsid w:val="00764CE3"/>
    <w:rsid w:val="00764E42"/>
    <w:rsid w:val="00764FB9"/>
    <w:rsid w:val="007656D9"/>
    <w:rsid w:val="007658D3"/>
    <w:rsid w:val="00765BB2"/>
    <w:rsid w:val="00765CDC"/>
    <w:rsid w:val="00765D52"/>
    <w:rsid w:val="00766222"/>
    <w:rsid w:val="00766380"/>
    <w:rsid w:val="0076662A"/>
    <w:rsid w:val="0076697E"/>
    <w:rsid w:val="00766A92"/>
    <w:rsid w:val="00766AE9"/>
    <w:rsid w:val="007675B1"/>
    <w:rsid w:val="00767A37"/>
    <w:rsid w:val="00767AD5"/>
    <w:rsid w:val="00767E67"/>
    <w:rsid w:val="00770310"/>
    <w:rsid w:val="00770426"/>
    <w:rsid w:val="00770725"/>
    <w:rsid w:val="0077076B"/>
    <w:rsid w:val="007709BB"/>
    <w:rsid w:val="00770A41"/>
    <w:rsid w:val="00770DD9"/>
    <w:rsid w:val="00770DF7"/>
    <w:rsid w:val="0077131F"/>
    <w:rsid w:val="007714F0"/>
    <w:rsid w:val="00771766"/>
    <w:rsid w:val="0077182B"/>
    <w:rsid w:val="007724A7"/>
    <w:rsid w:val="007725A3"/>
    <w:rsid w:val="00772669"/>
    <w:rsid w:val="00772717"/>
    <w:rsid w:val="00772849"/>
    <w:rsid w:val="007728B5"/>
    <w:rsid w:val="00772981"/>
    <w:rsid w:val="007729ED"/>
    <w:rsid w:val="00772B35"/>
    <w:rsid w:val="00772C55"/>
    <w:rsid w:val="00772D4E"/>
    <w:rsid w:val="00772EB1"/>
    <w:rsid w:val="0077309D"/>
    <w:rsid w:val="0077315E"/>
    <w:rsid w:val="007735F5"/>
    <w:rsid w:val="00773E19"/>
    <w:rsid w:val="00773E78"/>
    <w:rsid w:val="00774478"/>
    <w:rsid w:val="0077452E"/>
    <w:rsid w:val="00774D30"/>
    <w:rsid w:val="00774DD2"/>
    <w:rsid w:val="007751B0"/>
    <w:rsid w:val="0077523D"/>
    <w:rsid w:val="00775391"/>
    <w:rsid w:val="007757C4"/>
    <w:rsid w:val="00775E24"/>
    <w:rsid w:val="0077601F"/>
    <w:rsid w:val="00776205"/>
    <w:rsid w:val="007765D3"/>
    <w:rsid w:val="007767B6"/>
    <w:rsid w:val="00777889"/>
    <w:rsid w:val="00777B04"/>
    <w:rsid w:val="00777F18"/>
    <w:rsid w:val="00777F82"/>
    <w:rsid w:val="007807A7"/>
    <w:rsid w:val="0078097F"/>
    <w:rsid w:val="00780C8B"/>
    <w:rsid w:val="0078100E"/>
    <w:rsid w:val="00781543"/>
    <w:rsid w:val="007815CB"/>
    <w:rsid w:val="007817B4"/>
    <w:rsid w:val="0078182F"/>
    <w:rsid w:val="00781878"/>
    <w:rsid w:val="00781C4E"/>
    <w:rsid w:val="00782137"/>
    <w:rsid w:val="0078230C"/>
    <w:rsid w:val="0078232B"/>
    <w:rsid w:val="007823FA"/>
    <w:rsid w:val="007825E1"/>
    <w:rsid w:val="0078260F"/>
    <w:rsid w:val="007829F6"/>
    <w:rsid w:val="00782CB8"/>
    <w:rsid w:val="00782EC2"/>
    <w:rsid w:val="00783760"/>
    <w:rsid w:val="00783989"/>
    <w:rsid w:val="00783B8C"/>
    <w:rsid w:val="00784097"/>
    <w:rsid w:val="007843F6"/>
    <w:rsid w:val="00784979"/>
    <w:rsid w:val="00784BC9"/>
    <w:rsid w:val="00785021"/>
    <w:rsid w:val="007852F0"/>
    <w:rsid w:val="007854F4"/>
    <w:rsid w:val="007858A1"/>
    <w:rsid w:val="00785A00"/>
    <w:rsid w:val="00785EB4"/>
    <w:rsid w:val="00786D7A"/>
    <w:rsid w:val="00786DAB"/>
    <w:rsid w:val="007870CF"/>
    <w:rsid w:val="007871D5"/>
    <w:rsid w:val="00787251"/>
    <w:rsid w:val="00790163"/>
    <w:rsid w:val="00790277"/>
    <w:rsid w:val="007904FC"/>
    <w:rsid w:val="00790541"/>
    <w:rsid w:val="0079066D"/>
    <w:rsid w:val="00790703"/>
    <w:rsid w:val="00790708"/>
    <w:rsid w:val="00790AC4"/>
    <w:rsid w:val="00790F97"/>
    <w:rsid w:val="00791298"/>
    <w:rsid w:val="0079166C"/>
    <w:rsid w:val="007926B0"/>
    <w:rsid w:val="00792D57"/>
    <w:rsid w:val="00792FE7"/>
    <w:rsid w:val="0079321F"/>
    <w:rsid w:val="007939F0"/>
    <w:rsid w:val="00793BC9"/>
    <w:rsid w:val="00793E8F"/>
    <w:rsid w:val="00793F05"/>
    <w:rsid w:val="0079405F"/>
    <w:rsid w:val="00794070"/>
    <w:rsid w:val="0079431E"/>
    <w:rsid w:val="00794334"/>
    <w:rsid w:val="00794827"/>
    <w:rsid w:val="00795531"/>
    <w:rsid w:val="00795766"/>
    <w:rsid w:val="00795A43"/>
    <w:rsid w:val="00795D46"/>
    <w:rsid w:val="00795F48"/>
    <w:rsid w:val="0079602B"/>
    <w:rsid w:val="007966B2"/>
    <w:rsid w:val="0079677D"/>
    <w:rsid w:val="00796941"/>
    <w:rsid w:val="00796B1D"/>
    <w:rsid w:val="00796C2A"/>
    <w:rsid w:val="00796E18"/>
    <w:rsid w:val="007970E7"/>
    <w:rsid w:val="00797151"/>
    <w:rsid w:val="0079771A"/>
    <w:rsid w:val="007979D0"/>
    <w:rsid w:val="00797A0C"/>
    <w:rsid w:val="00797F55"/>
    <w:rsid w:val="007A02F5"/>
    <w:rsid w:val="007A05BA"/>
    <w:rsid w:val="007A0859"/>
    <w:rsid w:val="007A0A02"/>
    <w:rsid w:val="007A0C48"/>
    <w:rsid w:val="007A0CF4"/>
    <w:rsid w:val="007A12F0"/>
    <w:rsid w:val="007A18B6"/>
    <w:rsid w:val="007A1A19"/>
    <w:rsid w:val="007A1BC8"/>
    <w:rsid w:val="007A217C"/>
    <w:rsid w:val="007A2715"/>
    <w:rsid w:val="007A28BC"/>
    <w:rsid w:val="007A2903"/>
    <w:rsid w:val="007A2F2C"/>
    <w:rsid w:val="007A3789"/>
    <w:rsid w:val="007A4083"/>
    <w:rsid w:val="007A427B"/>
    <w:rsid w:val="007A4397"/>
    <w:rsid w:val="007A44EC"/>
    <w:rsid w:val="007A48D5"/>
    <w:rsid w:val="007A49D2"/>
    <w:rsid w:val="007A4A84"/>
    <w:rsid w:val="007A4D07"/>
    <w:rsid w:val="007A4E4D"/>
    <w:rsid w:val="007A4EE6"/>
    <w:rsid w:val="007A4F39"/>
    <w:rsid w:val="007A5148"/>
    <w:rsid w:val="007A521B"/>
    <w:rsid w:val="007A53E8"/>
    <w:rsid w:val="007A585B"/>
    <w:rsid w:val="007A58B1"/>
    <w:rsid w:val="007A5A88"/>
    <w:rsid w:val="007A5B72"/>
    <w:rsid w:val="007A5C22"/>
    <w:rsid w:val="007A5DCA"/>
    <w:rsid w:val="007A5FF6"/>
    <w:rsid w:val="007A6380"/>
    <w:rsid w:val="007A64B6"/>
    <w:rsid w:val="007A698B"/>
    <w:rsid w:val="007A6BE6"/>
    <w:rsid w:val="007A701C"/>
    <w:rsid w:val="007A71E4"/>
    <w:rsid w:val="007A7D57"/>
    <w:rsid w:val="007B0284"/>
    <w:rsid w:val="007B0288"/>
    <w:rsid w:val="007B033C"/>
    <w:rsid w:val="007B04F5"/>
    <w:rsid w:val="007B09EB"/>
    <w:rsid w:val="007B0C65"/>
    <w:rsid w:val="007B15AC"/>
    <w:rsid w:val="007B1749"/>
    <w:rsid w:val="007B1BB2"/>
    <w:rsid w:val="007B1D46"/>
    <w:rsid w:val="007B2276"/>
    <w:rsid w:val="007B23BC"/>
    <w:rsid w:val="007B2437"/>
    <w:rsid w:val="007B2861"/>
    <w:rsid w:val="007B2F0E"/>
    <w:rsid w:val="007B333E"/>
    <w:rsid w:val="007B390A"/>
    <w:rsid w:val="007B3CEE"/>
    <w:rsid w:val="007B3F93"/>
    <w:rsid w:val="007B3FE5"/>
    <w:rsid w:val="007B4049"/>
    <w:rsid w:val="007B4261"/>
    <w:rsid w:val="007B44D3"/>
    <w:rsid w:val="007B4989"/>
    <w:rsid w:val="007B5013"/>
    <w:rsid w:val="007B52FE"/>
    <w:rsid w:val="007B585E"/>
    <w:rsid w:val="007B5A1D"/>
    <w:rsid w:val="007B5DC0"/>
    <w:rsid w:val="007B5E7D"/>
    <w:rsid w:val="007B6094"/>
    <w:rsid w:val="007B6162"/>
    <w:rsid w:val="007B62C6"/>
    <w:rsid w:val="007B6405"/>
    <w:rsid w:val="007B6C36"/>
    <w:rsid w:val="007B72C4"/>
    <w:rsid w:val="007B7328"/>
    <w:rsid w:val="007B7C15"/>
    <w:rsid w:val="007B7CD9"/>
    <w:rsid w:val="007B7D2B"/>
    <w:rsid w:val="007B7F24"/>
    <w:rsid w:val="007C03DA"/>
    <w:rsid w:val="007C08A5"/>
    <w:rsid w:val="007C0997"/>
    <w:rsid w:val="007C0C90"/>
    <w:rsid w:val="007C0C9D"/>
    <w:rsid w:val="007C148C"/>
    <w:rsid w:val="007C17E0"/>
    <w:rsid w:val="007C1829"/>
    <w:rsid w:val="007C18B8"/>
    <w:rsid w:val="007C1E54"/>
    <w:rsid w:val="007C1F14"/>
    <w:rsid w:val="007C2126"/>
    <w:rsid w:val="007C2219"/>
    <w:rsid w:val="007C251A"/>
    <w:rsid w:val="007C2777"/>
    <w:rsid w:val="007C28B1"/>
    <w:rsid w:val="007C30AA"/>
    <w:rsid w:val="007C355F"/>
    <w:rsid w:val="007C3781"/>
    <w:rsid w:val="007C38FE"/>
    <w:rsid w:val="007C3C19"/>
    <w:rsid w:val="007C3D32"/>
    <w:rsid w:val="007C4003"/>
    <w:rsid w:val="007C4609"/>
    <w:rsid w:val="007C4795"/>
    <w:rsid w:val="007C48A5"/>
    <w:rsid w:val="007C491C"/>
    <w:rsid w:val="007C4C31"/>
    <w:rsid w:val="007C4CA6"/>
    <w:rsid w:val="007C5355"/>
    <w:rsid w:val="007C540A"/>
    <w:rsid w:val="007C546A"/>
    <w:rsid w:val="007C559E"/>
    <w:rsid w:val="007C56F6"/>
    <w:rsid w:val="007C593D"/>
    <w:rsid w:val="007C599D"/>
    <w:rsid w:val="007C61FB"/>
    <w:rsid w:val="007C63DC"/>
    <w:rsid w:val="007C6756"/>
    <w:rsid w:val="007C6865"/>
    <w:rsid w:val="007C68A9"/>
    <w:rsid w:val="007C70A0"/>
    <w:rsid w:val="007C7A52"/>
    <w:rsid w:val="007C7BBD"/>
    <w:rsid w:val="007C7E7F"/>
    <w:rsid w:val="007D012E"/>
    <w:rsid w:val="007D033F"/>
    <w:rsid w:val="007D0468"/>
    <w:rsid w:val="007D0A53"/>
    <w:rsid w:val="007D0A5C"/>
    <w:rsid w:val="007D1212"/>
    <w:rsid w:val="007D166C"/>
    <w:rsid w:val="007D202C"/>
    <w:rsid w:val="007D20F1"/>
    <w:rsid w:val="007D220F"/>
    <w:rsid w:val="007D2437"/>
    <w:rsid w:val="007D2512"/>
    <w:rsid w:val="007D2597"/>
    <w:rsid w:val="007D259D"/>
    <w:rsid w:val="007D2977"/>
    <w:rsid w:val="007D2AC6"/>
    <w:rsid w:val="007D2B19"/>
    <w:rsid w:val="007D310A"/>
    <w:rsid w:val="007D32BB"/>
    <w:rsid w:val="007D3491"/>
    <w:rsid w:val="007D3BFD"/>
    <w:rsid w:val="007D3FB6"/>
    <w:rsid w:val="007D41B1"/>
    <w:rsid w:val="007D45C6"/>
    <w:rsid w:val="007D46ED"/>
    <w:rsid w:val="007D4A3E"/>
    <w:rsid w:val="007D4B93"/>
    <w:rsid w:val="007D4CD2"/>
    <w:rsid w:val="007D5482"/>
    <w:rsid w:val="007D5862"/>
    <w:rsid w:val="007D5B12"/>
    <w:rsid w:val="007D5C3D"/>
    <w:rsid w:val="007D6A5A"/>
    <w:rsid w:val="007D6A7F"/>
    <w:rsid w:val="007D6B61"/>
    <w:rsid w:val="007D71A3"/>
    <w:rsid w:val="007D773F"/>
    <w:rsid w:val="007D7973"/>
    <w:rsid w:val="007D7B56"/>
    <w:rsid w:val="007D7CB0"/>
    <w:rsid w:val="007D7CBE"/>
    <w:rsid w:val="007E018B"/>
    <w:rsid w:val="007E0197"/>
    <w:rsid w:val="007E077F"/>
    <w:rsid w:val="007E07A8"/>
    <w:rsid w:val="007E0AF5"/>
    <w:rsid w:val="007E0D49"/>
    <w:rsid w:val="007E10CA"/>
    <w:rsid w:val="007E13A6"/>
    <w:rsid w:val="007E1426"/>
    <w:rsid w:val="007E1528"/>
    <w:rsid w:val="007E1C32"/>
    <w:rsid w:val="007E212F"/>
    <w:rsid w:val="007E2472"/>
    <w:rsid w:val="007E2CF1"/>
    <w:rsid w:val="007E2E79"/>
    <w:rsid w:val="007E2F95"/>
    <w:rsid w:val="007E30B3"/>
    <w:rsid w:val="007E31F7"/>
    <w:rsid w:val="007E3975"/>
    <w:rsid w:val="007E3FDF"/>
    <w:rsid w:val="007E4057"/>
    <w:rsid w:val="007E40DB"/>
    <w:rsid w:val="007E41CC"/>
    <w:rsid w:val="007E43AE"/>
    <w:rsid w:val="007E43BF"/>
    <w:rsid w:val="007E4A4D"/>
    <w:rsid w:val="007E4B75"/>
    <w:rsid w:val="007E4D1B"/>
    <w:rsid w:val="007E4E64"/>
    <w:rsid w:val="007E52B9"/>
    <w:rsid w:val="007E5370"/>
    <w:rsid w:val="007E585E"/>
    <w:rsid w:val="007E6BD2"/>
    <w:rsid w:val="007E7490"/>
    <w:rsid w:val="007E74DE"/>
    <w:rsid w:val="007E75D6"/>
    <w:rsid w:val="007E76C4"/>
    <w:rsid w:val="007E7C65"/>
    <w:rsid w:val="007E7CA2"/>
    <w:rsid w:val="007E7D75"/>
    <w:rsid w:val="007E7E22"/>
    <w:rsid w:val="007E7E3F"/>
    <w:rsid w:val="007F033E"/>
    <w:rsid w:val="007F04C9"/>
    <w:rsid w:val="007F068D"/>
    <w:rsid w:val="007F0780"/>
    <w:rsid w:val="007F0C68"/>
    <w:rsid w:val="007F1138"/>
    <w:rsid w:val="007F166A"/>
    <w:rsid w:val="007F1D62"/>
    <w:rsid w:val="007F1F11"/>
    <w:rsid w:val="007F21C4"/>
    <w:rsid w:val="007F2CCA"/>
    <w:rsid w:val="007F2D24"/>
    <w:rsid w:val="007F2DF4"/>
    <w:rsid w:val="007F2F69"/>
    <w:rsid w:val="007F335E"/>
    <w:rsid w:val="007F40A1"/>
    <w:rsid w:val="007F41EC"/>
    <w:rsid w:val="007F4962"/>
    <w:rsid w:val="007F4A6A"/>
    <w:rsid w:val="007F4EC8"/>
    <w:rsid w:val="007F50A4"/>
    <w:rsid w:val="007F5A24"/>
    <w:rsid w:val="007F5B60"/>
    <w:rsid w:val="007F5BF9"/>
    <w:rsid w:val="007F5C87"/>
    <w:rsid w:val="007F5FBD"/>
    <w:rsid w:val="007F6476"/>
    <w:rsid w:val="007F64A0"/>
    <w:rsid w:val="007F6909"/>
    <w:rsid w:val="007F6A7D"/>
    <w:rsid w:val="007F6AD0"/>
    <w:rsid w:val="007F6B24"/>
    <w:rsid w:val="007F6F24"/>
    <w:rsid w:val="007F7253"/>
    <w:rsid w:val="007F78A1"/>
    <w:rsid w:val="007F7A5D"/>
    <w:rsid w:val="007F7B01"/>
    <w:rsid w:val="007F7F3E"/>
    <w:rsid w:val="007F7F59"/>
    <w:rsid w:val="008000B0"/>
    <w:rsid w:val="00800147"/>
    <w:rsid w:val="0080040E"/>
    <w:rsid w:val="008006CE"/>
    <w:rsid w:val="00800838"/>
    <w:rsid w:val="00800975"/>
    <w:rsid w:val="00800E58"/>
    <w:rsid w:val="008013C2"/>
    <w:rsid w:val="0080171C"/>
    <w:rsid w:val="00801BCE"/>
    <w:rsid w:val="00802314"/>
    <w:rsid w:val="00802D2E"/>
    <w:rsid w:val="00802F36"/>
    <w:rsid w:val="00803289"/>
    <w:rsid w:val="008035C1"/>
    <w:rsid w:val="00803B6D"/>
    <w:rsid w:val="00803EF9"/>
    <w:rsid w:val="008044CD"/>
    <w:rsid w:val="008048C4"/>
    <w:rsid w:val="00804B86"/>
    <w:rsid w:val="00804BE7"/>
    <w:rsid w:val="00804D23"/>
    <w:rsid w:val="00804E2F"/>
    <w:rsid w:val="00804E55"/>
    <w:rsid w:val="00804E61"/>
    <w:rsid w:val="00804EA7"/>
    <w:rsid w:val="00805210"/>
    <w:rsid w:val="00805839"/>
    <w:rsid w:val="00805DB1"/>
    <w:rsid w:val="00805E59"/>
    <w:rsid w:val="00806291"/>
    <w:rsid w:val="008065C1"/>
    <w:rsid w:val="00806A9B"/>
    <w:rsid w:val="00806DBD"/>
    <w:rsid w:val="0080702A"/>
    <w:rsid w:val="008070B3"/>
    <w:rsid w:val="0080729A"/>
    <w:rsid w:val="00807486"/>
    <w:rsid w:val="00807706"/>
    <w:rsid w:val="00807860"/>
    <w:rsid w:val="00807A2D"/>
    <w:rsid w:val="008105CE"/>
    <w:rsid w:val="00810A16"/>
    <w:rsid w:val="00810B0D"/>
    <w:rsid w:val="00810EE0"/>
    <w:rsid w:val="00811136"/>
    <w:rsid w:val="0081122D"/>
    <w:rsid w:val="00811279"/>
    <w:rsid w:val="00811662"/>
    <w:rsid w:val="00811864"/>
    <w:rsid w:val="008119EA"/>
    <w:rsid w:val="00811CCC"/>
    <w:rsid w:val="00812006"/>
    <w:rsid w:val="00812FE9"/>
    <w:rsid w:val="008133B0"/>
    <w:rsid w:val="008136C5"/>
    <w:rsid w:val="00813D52"/>
    <w:rsid w:val="00814199"/>
    <w:rsid w:val="00814291"/>
    <w:rsid w:val="008144FA"/>
    <w:rsid w:val="00814586"/>
    <w:rsid w:val="008147C4"/>
    <w:rsid w:val="00814809"/>
    <w:rsid w:val="00814ACD"/>
    <w:rsid w:val="00814F46"/>
    <w:rsid w:val="008150DF"/>
    <w:rsid w:val="0081546B"/>
    <w:rsid w:val="008155F6"/>
    <w:rsid w:val="0081568E"/>
    <w:rsid w:val="0081582F"/>
    <w:rsid w:val="0081584F"/>
    <w:rsid w:val="00815A28"/>
    <w:rsid w:val="00815CC4"/>
    <w:rsid w:val="008163BE"/>
    <w:rsid w:val="008164E1"/>
    <w:rsid w:val="0081664C"/>
    <w:rsid w:val="00816925"/>
    <w:rsid w:val="008170E3"/>
    <w:rsid w:val="00817103"/>
    <w:rsid w:val="0081714D"/>
    <w:rsid w:val="0081722E"/>
    <w:rsid w:val="0081761B"/>
    <w:rsid w:val="0081768F"/>
    <w:rsid w:val="00817D06"/>
    <w:rsid w:val="0082041C"/>
    <w:rsid w:val="00820492"/>
    <w:rsid w:val="00820516"/>
    <w:rsid w:val="00820661"/>
    <w:rsid w:val="00820734"/>
    <w:rsid w:val="00820985"/>
    <w:rsid w:val="00821116"/>
    <w:rsid w:val="008219CF"/>
    <w:rsid w:val="00821B32"/>
    <w:rsid w:val="00821F79"/>
    <w:rsid w:val="00821F99"/>
    <w:rsid w:val="00822222"/>
    <w:rsid w:val="00822408"/>
    <w:rsid w:val="00822A86"/>
    <w:rsid w:val="00822D48"/>
    <w:rsid w:val="00823888"/>
    <w:rsid w:val="0082393F"/>
    <w:rsid w:val="008240DF"/>
    <w:rsid w:val="00824233"/>
    <w:rsid w:val="008248F1"/>
    <w:rsid w:val="00824A6F"/>
    <w:rsid w:val="0082506C"/>
    <w:rsid w:val="008250E1"/>
    <w:rsid w:val="008251AF"/>
    <w:rsid w:val="00825802"/>
    <w:rsid w:val="00825A9F"/>
    <w:rsid w:val="0082655F"/>
    <w:rsid w:val="00826CC3"/>
    <w:rsid w:val="00826E8E"/>
    <w:rsid w:val="00826ED8"/>
    <w:rsid w:val="00827548"/>
    <w:rsid w:val="0082793E"/>
    <w:rsid w:val="0082793F"/>
    <w:rsid w:val="00827A24"/>
    <w:rsid w:val="00827A26"/>
    <w:rsid w:val="00830087"/>
    <w:rsid w:val="00830346"/>
    <w:rsid w:val="008306EB"/>
    <w:rsid w:val="00830F8C"/>
    <w:rsid w:val="00831BF6"/>
    <w:rsid w:val="00831C78"/>
    <w:rsid w:val="00832810"/>
    <w:rsid w:val="00832BA7"/>
    <w:rsid w:val="00832CD1"/>
    <w:rsid w:val="00832FFB"/>
    <w:rsid w:val="00833518"/>
    <w:rsid w:val="008335AE"/>
    <w:rsid w:val="00833615"/>
    <w:rsid w:val="00833704"/>
    <w:rsid w:val="00833766"/>
    <w:rsid w:val="00833884"/>
    <w:rsid w:val="00833DCF"/>
    <w:rsid w:val="0083450D"/>
    <w:rsid w:val="00834D35"/>
    <w:rsid w:val="00834E93"/>
    <w:rsid w:val="00835064"/>
    <w:rsid w:val="008352CF"/>
    <w:rsid w:val="0083545D"/>
    <w:rsid w:val="00835581"/>
    <w:rsid w:val="00835945"/>
    <w:rsid w:val="00835B86"/>
    <w:rsid w:val="00835DE7"/>
    <w:rsid w:val="00835FD3"/>
    <w:rsid w:val="00835FFD"/>
    <w:rsid w:val="00836031"/>
    <w:rsid w:val="0083607C"/>
    <w:rsid w:val="00836254"/>
    <w:rsid w:val="0083651B"/>
    <w:rsid w:val="00836703"/>
    <w:rsid w:val="00836B04"/>
    <w:rsid w:val="00837316"/>
    <w:rsid w:val="008373E8"/>
    <w:rsid w:val="00837E8D"/>
    <w:rsid w:val="00837EA4"/>
    <w:rsid w:val="00840642"/>
    <w:rsid w:val="00840D9E"/>
    <w:rsid w:val="00841037"/>
    <w:rsid w:val="00841168"/>
    <w:rsid w:val="0084126B"/>
    <w:rsid w:val="0084155F"/>
    <w:rsid w:val="008415D2"/>
    <w:rsid w:val="00841FAC"/>
    <w:rsid w:val="008423F6"/>
    <w:rsid w:val="00842565"/>
    <w:rsid w:val="00842709"/>
    <w:rsid w:val="0084291A"/>
    <w:rsid w:val="00842A5C"/>
    <w:rsid w:val="008430D9"/>
    <w:rsid w:val="0084348A"/>
    <w:rsid w:val="00843A05"/>
    <w:rsid w:val="00843B3D"/>
    <w:rsid w:val="00843C65"/>
    <w:rsid w:val="00843D73"/>
    <w:rsid w:val="008442F9"/>
    <w:rsid w:val="00844459"/>
    <w:rsid w:val="00844848"/>
    <w:rsid w:val="008449E4"/>
    <w:rsid w:val="00844B6D"/>
    <w:rsid w:val="008450FD"/>
    <w:rsid w:val="008451E5"/>
    <w:rsid w:val="00845785"/>
    <w:rsid w:val="00845797"/>
    <w:rsid w:val="00845917"/>
    <w:rsid w:val="00845B6D"/>
    <w:rsid w:val="0084663B"/>
    <w:rsid w:val="008467B2"/>
    <w:rsid w:val="008471CB"/>
    <w:rsid w:val="008471EE"/>
    <w:rsid w:val="008475B3"/>
    <w:rsid w:val="0084774C"/>
    <w:rsid w:val="00847E5D"/>
    <w:rsid w:val="00847FC1"/>
    <w:rsid w:val="00850032"/>
    <w:rsid w:val="0085013C"/>
    <w:rsid w:val="008501BD"/>
    <w:rsid w:val="008506C4"/>
    <w:rsid w:val="00850766"/>
    <w:rsid w:val="00850D54"/>
    <w:rsid w:val="00850EF3"/>
    <w:rsid w:val="00851102"/>
    <w:rsid w:val="008512E3"/>
    <w:rsid w:val="0085144A"/>
    <w:rsid w:val="008514E8"/>
    <w:rsid w:val="0085162F"/>
    <w:rsid w:val="00851AEF"/>
    <w:rsid w:val="00851BAF"/>
    <w:rsid w:val="00851CE8"/>
    <w:rsid w:val="00851D66"/>
    <w:rsid w:val="00851EA4"/>
    <w:rsid w:val="0085239C"/>
    <w:rsid w:val="00852751"/>
    <w:rsid w:val="00852828"/>
    <w:rsid w:val="00852998"/>
    <w:rsid w:val="00852C1D"/>
    <w:rsid w:val="00852E0A"/>
    <w:rsid w:val="00852EC3"/>
    <w:rsid w:val="00853601"/>
    <w:rsid w:val="00854336"/>
    <w:rsid w:val="0085443C"/>
    <w:rsid w:val="00854542"/>
    <w:rsid w:val="008548E0"/>
    <w:rsid w:val="00854AF0"/>
    <w:rsid w:val="00854B32"/>
    <w:rsid w:val="008550DE"/>
    <w:rsid w:val="00855333"/>
    <w:rsid w:val="008554C5"/>
    <w:rsid w:val="008555A7"/>
    <w:rsid w:val="0085583C"/>
    <w:rsid w:val="00856047"/>
    <w:rsid w:val="00856175"/>
    <w:rsid w:val="0085619F"/>
    <w:rsid w:val="00856203"/>
    <w:rsid w:val="0085636D"/>
    <w:rsid w:val="0085651E"/>
    <w:rsid w:val="00856538"/>
    <w:rsid w:val="0085693C"/>
    <w:rsid w:val="00856A93"/>
    <w:rsid w:val="00856C9C"/>
    <w:rsid w:val="00856F75"/>
    <w:rsid w:val="008576B5"/>
    <w:rsid w:val="008576F1"/>
    <w:rsid w:val="008578FC"/>
    <w:rsid w:val="00857E06"/>
    <w:rsid w:val="00860417"/>
    <w:rsid w:val="0086055F"/>
    <w:rsid w:val="00860983"/>
    <w:rsid w:val="00860D17"/>
    <w:rsid w:val="0086127B"/>
    <w:rsid w:val="00861892"/>
    <w:rsid w:val="008618EC"/>
    <w:rsid w:val="00861FC2"/>
    <w:rsid w:val="008620F7"/>
    <w:rsid w:val="008621AD"/>
    <w:rsid w:val="008623F0"/>
    <w:rsid w:val="00862694"/>
    <w:rsid w:val="00862EAC"/>
    <w:rsid w:val="00863009"/>
    <w:rsid w:val="0086308A"/>
    <w:rsid w:val="0086313F"/>
    <w:rsid w:val="008635FF"/>
    <w:rsid w:val="0086376D"/>
    <w:rsid w:val="00863D46"/>
    <w:rsid w:val="00863EA1"/>
    <w:rsid w:val="0086432E"/>
    <w:rsid w:val="00864383"/>
    <w:rsid w:val="008647A7"/>
    <w:rsid w:val="0086496C"/>
    <w:rsid w:val="00864BF1"/>
    <w:rsid w:val="00864FF5"/>
    <w:rsid w:val="00865203"/>
    <w:rsid w:val="008652CA"/>
    <w:rsid w:val="00865744"/>
    <w:rsid w:val="00865AA9"/>
    <w:rsid w:val="00865FE0"/>
    <w:rsid w:val="008660A6"/>
    <w:rsid w:val="0086683C"/>
    <w:rsid w:val="008671BD"/>
    <w:rsid w:val="0086751C"/>
    <w:rsid w:val="008676B2"/>
    <w:rsid w:val="00867AF1"/>
    <w:rsid w:val="00867BEE"/>
    <w:rsid w:val="00867D8E"/>
    <w:rsid w:val="00867E45"/>
    <w:rsid w:val="00867EE6"/>
    <w:rsid w:val="00870283"/>
    <w:rsid w:val="00870302"/>
    <w:rsid w:val="008708F9"/>
    <w:rsid w:val="00870B57"/>
    <w:rsid w:val="00870B89"/>
    <w:rsid w:val="008712D0"/>
    <w:rsid w:val="00871311"/>
    <w:rsid w:val="008716CF"/>
    <w:rsid w:val="008716D3"/>
    <w:rsid w:val="00871DCD"/>
    <w:rsid w:val="00872048"/>
    <w:rsid w:val="00872193"/>
    <w:rsid w:val="008721DC"/>
    <w:rsid w:val="00872606"/>
    <w:rsid w:val="00872703"/>
    <w:rsid w:val="00872AB5"/>
    <w:rsid w:val="00872BA8"/>
    <w:rsid w:val="00872DD6"/>
    <w:rsid w:val="008730B0"/>
    <w:rsid w:val="008732C6"/>
    <w:rsid w:val="0087375E"/>
    <w:rsid w:val="0087398A"/>
    <w:rsid w:val="00873CBB"/>
    <w:rsid w:val="00873E53"/>
    <w:rsid w:val="00873F5B"/>
    <w:rsid w:val="008741B0"/>
    <w:rsid w:val="00874299"/>
    <w:rsid w:val="008744C4"/>
    <w:rsid w:val="00874854"/>
    <w:rsid w:val="0087566B"/>
    <w:rsid w:val="008757C5"/>
    <w:rsid w:val="0087582A"/>
    <w:rsid w:val="00875AC2"/>
    <w:rsid w:val="00875B92"/>
    <w:rsid w:val="00876419"/>
    <w:rsid w:val="008764D6"/>
    <w:rsid w:val="00876571"/>
    <w:rsid w:val="0087695B"/>
    <w:rsid w:val="00876CBB"/>
    <w:rsid w:val="00876E5E"/>
    <w:rsid w:val="008770E7"/>
    <w:rsid w:val="00877148"/>
    <w:rsid w:val="008772DB"/>
    <w:rsid w:val="008773A7"/>
    <w:rsid w:val="00877C79"/>
    <w:rsid w:val="00877D59"/>
    <w:rsid w:val="00880006"/>
    <w:rsid w:val="00880197"/>
    <w:rsid w:val="0088095E"/>
    <w:rsid w:val="00880AF5"/>
    <w:rsid w:val="008810E8"/>
    <w:rsid w:val="0088166B"/>
    <w:rsid w:val="0088206F"/>
    <w:rsid w:val="008820A1"/>
    <w:rsid w:val="00882161"/>
    <w:rsid w:val="008822AA"/>
    <w:rsid w:val="008829F0"/>
    <w:rsid w:val="00882A62"/>
    <w:rsid w:val="00882B9A"/>
    <w:rsid w:val="00882EF2"/>
    <w:rsid w:val="00882FAD"/>
    <w:rsid w:val="00883497"/>
    <w:rsid w:val="0088352B"/>
    <w:rsid w:val="0088355B"/>
    <w:rsid w:val="00883577"/>
    <w:rsid w:val="00883A2C"/>
    <w:rsid w:val="00883AAD"/>
    <w:rsid w:val="00883AF0"/>
    <w:rsid w:val="00883B24"/>
    <w:rsid w:val="00884942"/>
    <w:rsid w:val="008850BA"/>
    <w:rsid w:val="008854F7"/>
    <w:rsid w:val="00885BAC"/>
    <w:rsid w:val="00885CFF"/>
    <w:rsid w:val="00885D4F"/>
    <w:rsid w:val="00886235"/>
    <w:rsid w:val="00886741"/>
    <w:rsid w:val="00886B67"/>
    <w:rsid w:val="00886E8F"/>
    <w:rsid w:val="008871B1"/>
    <w:rsid w:val="0088729E"/>
    <w:rsid w:val="008873E4"/>
    <w:rsid w:val="0088755A"/>
    <w:rsid w:val="008875C8"/>
    <w:rsid w:val="00887916"/>
    <w:rsid w:val="00887DAB"/>
    <w:rsid w:val="00887F8B"/>
    <w:rsid w:val="0089000D"/>
    <w:rsid w:val="00890042"/>
    <w:rsid w:val="008901A9"/>
    <w:rsid w:val="008906FF"/>
    <w:rsid w:val="00890ABB"/>
    <w:rsid w:val="00890D83"/>
    <w:rsid w:val="00890EB5"/>
    <w:rsid w:val="00891022"/>
    <w:rsid w:val="0089111E"/>
    <w:rsid w:val="008915C1"/>
    <w:rsid w:val="008916AF"/>
    <w:rsid w:val="008916CB"/>
    <w:rsid w:val="00892154"/>
    <w:rsid w:val="0089233D"/>
    <w:rsid w:val="00892632"/>
    <w:rsid w:val="0089278E"/>
    <w:rsid w:val="00892A62"/>
    <w:rsid w:val="00893393"/>
    <w:rsid w:val="00893A0F"/>
    <w:rsid w:val="00893B91"/>
    <w:rsid w:val="00893EC0"/>
    <w:rsid w:val="008940A6"/>
    <w:rsid w:val="00894A06"/>
    <w:rsid w:val="00894C38"/>
    <w:rsid w:val="00894EB4"/>
    <w:rsid w:val="008950B9"/>
    <w:rsid w:val="008954AE"/>
    <w:rsid w:val="00895593"/>
    <w:rsid w:val="008959EA"/>
    <w:rsid w:val="008964E4"/>
    <w:rsid w:val="00896B25"/>
    <w:rsid w:val="008971B3"/>
    <w:rsid w:val="00897739"/>
    <w:rsid w:val="00897889"/>
    <w:rsid w:val="008978CB"/>
    <w:rsid w:val="00897CE7"/>
    <w:rsid w:val="008A00B8"/>
    <w:rsid w:val="008A02AF"/>
    <w:rsid w:val="008A04CE"/>
    <w:rsid w:val="008A0502"/>
    <w:rsid w:val="008A069E"/>
    <w:rsid w:val="008A0ADC"/>
    <w:rsid w:val="008A0AE5"/>
    <w:rsid w:val="008A0CC1"/>
    <w:rsid w:val="008A1803"/>
    <w:rsid w:val="008A18CA"/>
    <w:rsid w:val="008A1911"/>
    <w:rsid w:val="008A1D60"/>
    <w:rsid w:val="008A1D76"/>
    <w:rsid w:val="008A1EAF"/>
    <w:rsid w:val="008A1EBD"/>
    <w:rsid w:val="008A2062"/>
    <w:rsid w:val="008A20D6"/>
    <w:rsid w:val="008A20EC"/>
    <w:rsid w:val="008A21F6"/>
    <w:rsid w:val="008A2350"/>
    <w:rsid w:val="008A2468"/>
    <w:rsid w:val="008A2591"/>
    <w:rsid w:val="008A26FC"/>
    <w:rsid w:val="008A28EF"/>
    <w:rsid w:val="008A2BAA"/>
    <w:rsid w:val="008A3224"/>
    <w:rsid w:val="008A32D4"/>
    <w:rsid w:val="008A3394"/>
    <w:rsid w:val="008A37AE"/>
    <w:rsid w:val="008A38FD"/>
    <w:rsid w:val="008A3A8F"/>
    <w:rsid w:val="008A45BA"/>
    <w:rsid w:val="008A4E51"/>
    <w:rsid w:val="008A576A"/>
    <w:rsid w:val="008A5E0F"/>
    <w:rsid w:val="008A5FC5"/>
    <w:rsid w:val="008A6161"/>
    <w:rsid w:val="008A66CC"/>
    <w:rsid w:val="008A6987"/>
    <w:rsid w:val="008A69C0"/>
    <w:rsid w:val="008A6BBF"/>
    <w:rsid w:val="008A6E03"/>
    <w:rsid w:val="008A6EA2"/>
    <w:rsid w:val="008A6F63"/>
    <w:rsid w:val="008A744B"/>
    <w:rsid w:val="008A76F4"/>
    <w:rsid w:val="008A7B9C"/>
    <w:rsid w:val="008A7D1B"/>
    <w:rsid w:val="008A7F57"/>
    <w:rsid w:val="008B02C9"/>
    <w:rsid w:val="008B0BB4"/>
    <w:rsid w:val="008B0DD5"/>
    <w:rsid w:val="008B0DEA"/>
    <w:rsid w:val="008B0FD7"/>
    <w:rsid w:val="008B116C"/>
    <w:rsid w:val="008B12FD"/>
    <w:rsid w:val="008B1D4A"/>
    <w:rsid w:val="008B25B0"/>
    <w:rsid w:val="008B264A"/>
    <w:rsid w:val="008B2B72"/>
    <w:rsid w:val="008B2CF3"/>
    <w:rsid w:val="008B2FD5"/>
    <w:rsid w:val="008B3054"/>
    <w:rsid w:val="008B30B8"/>
    <w:rsid w:val="008B312E"/>
    <w:rsid w:val="008B3822"/>
    <w:rsid w:val="008B3860"/>
    <w:rsid w:val="008B3916"/>
    <w:rsid w:val="008B3B66"/>
    <w:rsid w:val="008B3EB8"/>
    <w:rsid w:val="008B4208"/>
    <w:rsid w:val="008B46D1"/>
    <w:rsid w:val="008B4825"/>
    <w:rsid w:val="008B4983"/>
    <w:rsid w:val="008B4EF7"/>
    <w:rsid w:val="008B512F"/>
    <w:rsid w:val="008B5503"/>
    <w:rsid w:val="008B5829"/>
    <w:rsid w:val="008B5EAF"/>
    <w:rsid w:val="008B60EA"/>
    <w:rsid w:val="008B6399"/>
    <w:rsid w:val="008B655A"/>
    <w:rsid w:val="008B6576"/>
    <w:rsid w:val="008B6774"/>
    <w:rsid w:val="008B6A5F"/>
    <w:rsid w:val="008B6F05"/>
    <w:rsid w:val="008B6FE7"/>
    <w:rsid w:val="008B779D"/>
    <w:rsid w:val="008B78F7"/>
    <w:rsid w:val="008B79FC"/>
    <w:rsid w:val="008B7E9F"/>
    <w:rsid w:val="008B7FBC"/>
    <w:rsid w:val="008C0105"/>
    <w:rsid w:val="008C01EB"/>
    <w:rsid w:val="008C04D6"/>
    <w:rsid w:val="008C05EB"/>
    <w:rsid w:val="008C0737"/>
    <w:rsid w:val="008C0EC8"/>
    <w:rsid w:val="008C184F"/>
    <w:rsid w:val="008C18D3"/>
    <w:rsid w:val="008C19B0"/>
    <w:rsid w:val="008C1AC2"/>
    <w:rsid w:val="008C1DBC"/>
    <w:rsid w:val="008C217C"/>
    <w:rsid w:val="008C23E5"/>
    <w:rsid w:val="008C27F3"/>
    <w:rsid w:val="008C3005"/>
    <w:rsid w:val="008C30DC"/>
    <w:rsid w:val="008C349C"/>
    <w:rsid w:val="008C3B9C"/>
    <w:rsid w:val="008C3CE5"/>
    <w:rsid w:val="008C3FF3"/>
    <w:rsid w:val="008C4362"/>
    <w:rsid w:val="008C436B"/>
    <w:rsid w:val="008C44E2"/>
    <w:rsid w:val="008C4A6A"/>
    <w:rsid w:val="008C4D10"/>
    <w:rsid w:val="008C52E9"/>
    <w:rsid w:val="008C54A6"/>
    <w:rsid w:val="008C552D"/>
    <w:rsid w:val="008C5DE1"/>
    <w:rsid w:val="008C6321"/>
    <w:rsid w:val="008C6529"/>
    <w:rsid w:val="008C6858"/>
    <w:rsid w:val="008C698A"/>
    <w:rsid w:val="008C7652"/>
    <w:rsid w:val="008C7A3E"/>
    <w:rsid w:val="008C7AEA"/>
    <w:rsid w:val="008C7D12"/>
    <w:rsid w:val="008D006A"/>
    <w:rsid w:val="008D0C1B"/>
    <w:rsid w:val="008D102A"/>
    <w:rsid w:val="008D149E"/>
    <w:rsid w:val="008D1508"/>
    <w:rsid w:val="008D1AE4"/>
    <w:rsid w:val="008D1D2C"/>
    <w:rsid w:val="008D2042"/>
    <w:rsid w:val="008D20A5"/>
    <w:rsid w:val="008D2A30"/>
    <w:rsid w:val="008D2CCE"/>
    <w:rsid w:val="008D2D9C"/>
    <w:rsid w:val="008D2DFF"/>
    <w:rsid w:val="008D2ED2"/>
    <w:rsid w:val="008D3404"/>
    <w:rsid w:val="008D34F1"/>
    <w:rsid w:val="008D3587"/>
    <w:rsid w:val="008D36CE"/>
    <w:rsid w:val="008D38B2"/>
    <w:rsid w:val="008D3A80"/>
    <w:rsid w:val="008D4532"/>
    <w:rsid w:val="008D476B"/>
    <w:rsid w:val="008D4EC6"/>
    <w:rsid w:val="008D54FC"/>
    <w:rsid w:val="008D5889"/>
    <w:rsid w:val="008D5AA8"/>
    <w:rsid w:val="008D5F52"/>
    <w:rsid w:val="008D66B2"/>
    <w:rsid w:val="008D6918"/>
    <w:rsid w:val="008D6968"/>
    <w:rsid w:val="008D7038"/>
    <w:rsid w:val="008D7294"/>
    <w:rsid w:val="008D74F8"/>
    <w:rsid w:val="008D77B7"/>
    <w:rsid w:val="008D781E"/>
    <w:rsid w:val="008D7849"/>
    <w:rsid w:val="008D7C63"/>
    <w:rsid w:val="008D7DFD"/>
    <w:rsid w:val="008D7E59"/>
    <w:rsid w:val="008E0425"/>
    <w:rsid w:val="008E141F"/>
    <w:rsid w:val="008E1653"/>
    <w:rsid w:val="008E1721"/>
    <w:rsid w:val="008E1C16"/>
    <w:rsid w:val="008E1DDA"/>
    <w:rsid w:val="008E1DE8"/>
    <w:rsid w:val="008E20BF"/>
    <w:rsid w:val="008E214E"/>
    <w:rsid w:val="008E2223"/>
    <w:rsid w:val="008E22B8"/>
    <w:rsid w:val="008E235B"/>
    <w:rsid w:val="008E2364"/>
    <w:rsid w:val="008E2480"/>
    <w:rsid w:val="008E27C7"/>
    <w:rsid w:val="008E28CB"/>
    <w:rsid w:val="008E29ED"/>
    <w:rsid w:val="008E2B88"/>
    <w:rsid w:val="008E3007"/>
    <w:rsid w:val="008E30C3"/>
    <w:rsid w:val="008E3294"/>
    <w:rsid w:val="008E37DA"/>
    <w:rsid w:val="008E37E3"/>
    <w:rsid w:val="008E384D"/>
    <w:rsid w:val="008E3A3C"/>
    <w:rsid w:val="008E3DA7"/>
    <w:rsid w:val="008E3FBE"/>
    <w:rsid w:val="008E456B"/>
    <w:rsid w:val="008E4732"/>
    <w:rsid w:val="008E4BFA"/>
    <w:rsid w:val="008E4C20"/>
    <w:rsid w:val="008E4D48"/>
    <w:rsid w:val="008E4E44"/>
    <w:rsid w:val="008E54CB"/>
    <w:rsid w:val="008E59A2"/>
    <w:rsid w:val="008E610A"/>
    <w:rsid w:val="008E6244"/>
    <w:rsid w:val="008E6263"/>
    <w:rsid w:val="008E6608"/>
    <w:rsid w:val="008E6A4C"/>
    <w:rsid w:val="008E6F52"/>
    <w:rsid w:val="008E6F66"/>
    <w:rsid w:val="008E6F84"/>
    <w:rsid w:val="008E6FFE"/>
    <w:rsid w:val="008E70DF"/>
    <w:rsid w:val="008E738C"/>
    <w:rsid w:val="008E74DE"/>
    <w:rsid w:val="008E78CA"/>
    <w:rsid w:val="008E7A8D"/>
    <w:rsid w:val="008E7B61"/>
    <w:rsid w:val="008E7DE9"/>
    <w:rsid w:val="008F00F9"/>
    <w:rsid w:val="008F0213"/>
    <w:rsid w:val="008F03B1"/>
    <w:rsid w:val="008F0523"/>
    <w:rsid w:val="008F055C"/>
    <w:rsid w:val="008F0CC9"/>
    <w:rsid w:val="008F10B5"/>
    <w:rsid w:val="008F11A0"/>
    <w:rsid w:val="008F182A"/>
    <w:rsid w:val="008F1918"/>
    <w:rsid w:val="008F192A"/>
    <w:rsid w:val="008F1A4E"/>
    <w:rsid w:val="008F1D5A"/>
    <w:rsid w:val="008F1F49"/>
    <w:rsid w:val="008F1FBD"/>
    <w:rsid w:val="008F2982"/>
    <w:rsid w:val="008F3216"/>
    <w:rsid w:val="008F3C99"/>
    <w:rsid w:val="008F3E87"/>
    <w:rsid w:val="008F4599"/>
    <w:rsid w:val="008F4AB8"/>
    <w:rsid w:val="008F4AF8"/>
    <w:rsid w:val="008F4EE2"/>
    <w:rsid w:val="008F5089"/>
    <w:rsid w:val="008F5B72"/>
    <w:rsid w:val="008F5D76"/>
    <w:rsid w:val="008F5DF7"/>
    <w:rsid w:val="008F5F77"/>
    <w:rsid w:val="008F696E"/>
    <w:rsid w:val="008F6C99"/>
    <w:rsid w:val="008F6D29"/>
    <w:rsid w:val="008F6DDC"/>
    <w:rsid w:val="008F6E9D"/>
    <w:rsid w:val="008F6F1F"/>
    <w:rsid w:val="008F7277"/>
    <w:rsid w:val="008F7543"/>
    <w:rsid w:val="008F7562"/>
    <w:rsid w:val="008F7A7A"/>
    <w:rsid w:val="008F7FE8"/>
    <w:rsid w:val="0090038E"/>
    <w:rsid w:val="00900868"/>
    <w:rsid w:val="009008FD"/>
    <w:rsid w:val="00900A61"/>
    <w:rsid w:val="00900C84"/>
    <w:rsid w:val="00900CB5"/>
    <w:rsid w:val="00900CFE"/>
    <w:rsid w:val="00900D5F"/>
    <w:rsid w:val="00900E0B"/>
    <w:rsid w:val="009011CA"/>
    <w:rsid w:val="009011CD"/>
    <w:rsid w:val="00901317"/>
    <w:rsid w:val="00901333"/>
    <w:rsid w:val="0090167C"/>
    <w:rsid w:val="00901712"/>
    <w:rsid w:val="00901841"/>
    <w:rsid w:val="00901A48"/>
    <w:rsid w:val="00901B2D"/>
    <w:rsid w:val="00902069"/>
    <w:rsid w:val="009023AF"/>
    <w:rsid w:val="00902484"/>
    <w:rsid w:val="009029AF"/>
    <w:rsid w:val="00902A37"/>
    <w:rsid w:val="00903026"/>
    <w:rsid w:val="009033FC"/>
    <w:rsid w:val="00903585"/>
    <w:rsid w:val="009037AA"/>
    <w:rsid w:val="009037DC"/>
    <w:rsid w:val="00903832"/>
    <w:rsid w:val="0090397D"/>
    <w:rsid w:val="0090414A"/>
    <w:rsid w:val="00904318"/>
    <w:rsid w:val="00904692"/>
    <w:rsid w:val="0090484C"/>
    <w:rsid w:val="00904D50"/>
    <w:rsid w:val="00904E58"/>
    <w:rsid w:val="00905318"/>
    <w:rsid w:val="0090555D"/>
    <w:rsid w:val="00905ACE"/>
    <w:rsid w:val="00905F18"/>
    <w:rsid w:val="00906238"/>
    <w:rsid w:val="00906356"/>
    <w:rsid w:val="009065B2"/>
    <w:rsid w:val="00906C72"/>
    <w:rsid w:val="00907163"/>
    <w:rsid w:val="009074A2"/>
    <w:rsid w:val="0090774E"/>
    <w:rsid w:val="00907AE6"/>
    <w:rsid w:val="00907B22"/>
    <w:rsid w:val="00910925"/>
    <w:rsid w:val="00910F31"/>
    <w:rsid w:val="009112A2"/>
    <w:rsid w:val="009112C7"/>
    <w:rsid w:val="0091143F"/>
    <w:rsid w:val="009116E9"/>
    <w:rsid w:val="00911A0E"/>
    <w:rsid w:val="00911F36"/>
    <w:rsid w:val="009120CD"/>
    <w:rsid w:val="009122E0"/>
    <w:rsid w:val="009127B1"/>
    <w:rsid w:val="00912C23"/>
    <w:rsid w:val="009134DB"/>
    <w:rsid w:val="00913801"/>
    <w:rsid w:val="00913D26"/>
    <w:rsid w:val="00913F6B"/>
    <w:rsid w:val="009141AB"/>
    <w:rsid w:val="009142B3"/>
    <w:rsid w:val="0091434C"/>
    <w:rsid w:val="009144B4"/>
    <w:rsid w:val="00914549"/>
    <w:rsid w:val="009145BB"/>
    <w:rsid w:val="00914AFD"/>
    <w:rsid w:val="00915182"/>
    <w:rsid w:val="00915424"/>
    <w:rsid w:val="009154A9"/>
    <w:rsid w:val="00915A01"/>
    <w:rsid w:val="0091609C"/>
    <w:rsid w:val="0091616D"/>
    <w:rsid w:val="009163B2"/>
    <w:rsid w:val="009163E5"/>
    <w:rsid w:val="0091667F"/>
    <w:rsid w:val="0091720E"/>
    <w:rsid w:val="00917B0A"/>
    <w:rsid w:val="00917F20"/>
    <w:rsid w:val="009202A7"/>
    <w:rsid w:val="0092031A"/>
    <w:rsid w:val="009205CB"/>
    <w:rsid w:val="00920BBA"/>
    <w:rsid w:val="00920DC1"/>
    <w:rsid w:val="00920ECA"/>
    <w:rsid w:val="009216B6"/>
    <w:rsid w:val="009216E2"/>
    <w:rsid w:val="009217B7"/>
    <w:rsid w:val="009218F5"/>
    <w:rsid w:val="00921AA7"/>
    <w:rsid w:val="00921C14"/>
    <w:rsid w:val="00921CCB"/>
    <w:rsid w:val="00921E27"/>
    <w:rsid w:val="00922020"/>
    <w:rsid w:val="0092257E"/>
    <w:rsid w:val="00922E51"/>
    <w:rsid w:val="00922F00"/>
    <w:rsid w:val="009232A0"/>
    <w:rsid w:val="009237CB"/>
    <w:rsid w:val="00923F7C"/>
    <w:rsid w:val="009240AD"/>
    <w:rsid w:val="00924365"/>
    <w:rsid w:val="0092446C"/>
    <w:rsid w:val="00924616"/>
    <w:rsid w:val="00924782"/>
    <w:rsid w:val="0092478D"/>
    <w:rsid w:val="009247C5"/>
    <w:rsid w:val="00924849"/>
    <w:rsid w:val="00924951"/>
    <w:rsid w:val="00924A19"/>
    <w:rsid w:val="0092528F"/>
    <w:rsid w:val="009254C0"/>
    <w:rsid w:val="00925657"/>
    <w:rsid w:val="0092579E"/>
    <w:rsid w:val="0092583E"/>
    <w:rsid w:val="009259CD"/>
    <w:rsid w:val="00925ED6"/>
    <w:rsid w:val="009260AC"/>
    <w:rsid w:val="0092612C"/>
    <w:rsid w:val="0092682B"/>
    <w:rsid w:val="00926CA2"/>
    <w:rsid w:val="00926F81"/>
    <w:rsid w:val="00927074"/>
    <w:rsid w:val="0092716B"/>
    <w:rsid w:val="0092731A"/>
    <w:rsid w:val="00927581"/>
    <w:rsid w:val="00927E38"/>
    <w:rsid w:val="00927F76"/>
    <w:rsid w:val="009303CD"/>
    <w:rsid w:val="00931074"/>
    <w:rsid w:val="00931298"/>
    <w:rsid w:val="00931878"/>
    <w:rsid w:val="00931AC1"/>
    <w:rsid w:val="00931B3F"/>
    <w:rsid w:val="00931D9B"/>
    <w:rsid w:val="00931F08"/>
    <w:rsid w:val="00931F29"/>
    <w:rsid w:val="009321DA"/>
    <w:rsid w:val="0093260A"/>
    <w:rsid w:val="00932670"/>
    <w:rsid w:val="00932BD6"/>
    <w:rsid w:val="00932C58"/>
    <w:rsid w:val="00933235"/>
    <w:rsid w:val="00933781"/>
    <w:rsid w:val="00933B86"/>
    <w:rsid w:val="00933BD2"/>
    <w:rsid w:val="00933F90"/>
    <w:rsid w:val="0093432F"/>
    <w:rsid w:val="00934944"/>
    <w:rsid w:val="0093499C"/>
    <w:rsid w:val="009351BB"/>
    <w:rsid w:val="0093532F"/>
    <w:rsid w:val="00935690"/>
    <w:rsid w:val="009360D1"/>
    <w:rsid w:val="00936145"/>
    <w:rsid w:val="00936595"/>
    <w:rsid w:val="009368DA"/>
    <w:rsid w:val="009371FC"/>
    <w:rsid w:val="009373DB"/>
    <w:rsid w:val="00937728"/>
    <w:rsid w:val="009378F7"/>
    <w:rsid w:val="00937964"/>
    <w:rsid w:val="00937DFE"/>
    <w:rsid w:val="0094002B"/>
    <w:rsid w:val="009407F7"/>
    <w:rsid w:val="00940D23"/>
    <w:rsid w:val="00940E27"/>
    <w:rsid w:val="00941084"/>
    <w:rsid w:val="0094139A"/>
    <w:rsid w:val="00941918"/>
    <w:rsid w:val="00941A28"/>
    <w:rsid w:val="00941CD8"/>
    <w:rsid w:val="00941D29"/>
    <w:rsid w:val="00942371"/>
    <w:rsid w:val="009429D1"/>
    <w:rsid w:val="00942CA6"/>
    <w:rsid w:val="00942DAA"/>
    <w:rsid w:val="00942F35"/>
    <w:rsid w:val="00943123"/>
    <w:rsid w:val="0094350F"/>
    <w:rsid w:val="00943A2E"/>
    <w:rsid w:val="009441C6"/>
    <w:rsid w:val="009446A9"/>
    <w:rsid w:val="00944A38"/>
    <w:rsid w:val="00944D8A"/>
    <w:rsid w:val="00944DD3"/>
    <w:rsid w:val="009450C0"/>
    <w:rsid w:val="009451D6"/>
    <w:rsid w:val="009458F5"/>
    <w:rsid w:val="0094597E"/>
    <w:rsid w:val="00945D07"/>
    <w:rsid w:val="00945FFF"/>
    <w:rsid w:val="00946098"/>
    <w:rsid w:val="009461E8"/>
    <w:rsid w:val="0094655F"/>
    <w:rsid w:val="009466F5"/>
    <w:rsid w:val="009470B0"/>
    <w:rsid w:val="0094710F"/>
    <w:rsid w:val="009472FD"/>
    <w:rsid w:val="00947963"/>
    <w:rsid w:val="00950077"/>
    <w:rsid w:val="00950078"/>
    <w:rsid w:val="009503FA"/>
    <w:rsid w:val="00950E8B"/>
    <w:rsid w:val="009510B8"/>
    <w:rsid w:val="00951196"/>
    <w:rsid w:val="00951376"/>
    <w:rsid w:val="0095138C"/>
    <w:rsid w:val="009515BF"/>
    <w:rsid w:val="00952031"/>
    <w:rsid w:val="00952044"/>
    <w:rsid w:val="00952115"/>
    <w:rsid w:val="009521B1"/>
    <w:rsid w:val="0095253C"/>
    <w:rsid w:val="00952673"/>
    <w:rsid w:val="00952703"/>
    <w:rsid w:val="009527B3"/>
    <w:rsid w:val="00952E17"/>
    <w:rsid w:val="009530EB"/>
    <w:rsid w:val="00953365"/>
    <w:rsid w:val="00953427"/>
    <w:rsid w:val="00953851"/>
    <w:rsid w:val="00953B1F"/>
    <w:rsid w:val="009545CB"/>
    <w:rsid w:val="00954AC8"/>
    <w:rsid w:val="009551C4"/>
    <w:rsid w:val="0095532E"/>
    <w:rsid w:val="009554F2"/>
    <w:rsid w:val="00955852"/>
    <w:rsid w:val="00955B38"/>
    <w:rsid w:val="00955B9A"/>
    <w:rsid w:val="00955F50"/>
    <w:rsid w:val="00955F68"/>
    <w:rsid w:val="00955F9B"/>
    <w:rsid w:val="00956659"/>
    <w:rsid w:val="009571EA"/>
    <w:rsid w:val="00957222"/>
    <w:rsid w:val="00957895"/>
    <w:rsid w:val="00957944"/>
    <w:rsid w:val="00957C64"/>
    <w:rsid w:val="00957C9F"/>
    <w:rsid w:val="00957CD8"/>
    <w:rsid w:val="00957D30"/>
    <w:rsid w:val="00960132"/>
    <w:rsid w:val="0096021A"/>
    <w:rsid w:val="009602E2"/>
    <w:rsid w:val="00960983"/>
    <w:rsid w:val="00960B40"/>
    <w:rsid w:val="00960BB2"/>
    <w:rsid w:val="00960EDF"/>
    <w:rsid w:val="00960FD5"/>
    <w:rsid w:val="00961121"/>
    <w:rsid w:val="0096119E"/>
    <w:rsid w:val="009618AE"/>
    <w:rsid w:val="009618B4"/>
    <w:rsid w:val="00961AC1"/>
    <w:rsid w:val="00961F82"/>
    <w:rsid w:val="0096207B"/>
    <w:rsid w:val="00962082"/>
    <w:rsid w:val="00962154"/>
    <w:rsid w:val="00962759"/>
    <w:rsid w:val="00962812"/>
    <w:rsid w:val="00962FB5"/>
    <w:rsid w:val="00962FFA"/>
    <w:rsid w:val="0096307B"/>
    <w:rsid w:val="00963819"/>
    <w:rsid w:val="0096396D"/>
    <w:rsid w:val="00963BFE"/>
    <w:rsid w:val="0096434C"/>
    <w:rsid w:val="009643B4"/>
    <w:rsid w:val="00964A22"/>
    <w:rsid w:val="00964AD5"/>
    <w:rsid w:val="009652E4"/>
    <w:rsid w:val="00965458"/>
    <w:rsid w:val="009659B9"/>
    <w:rsid w:val="00965CDD"/>
    <w:rsid w:val="00965E01"/>
    <w:rsid w:val="00965F48"/>
    <w:rsid w:val="00966310"/>
    <w:rsid w:val="009665E5"/>
    <w:rsid w:val="00966786"/>
    <w:rsid w:val="0096687B"/>
    <w:rsid w:val="009669C9"/>
    <w:rsid w:val="00966B97"/>
    <w:rsid w:val="00966C0E"/>
    <w:rsid w:val="00966FC8"/>
    <w:rsid w:val="0096700F"/>
    <w:rsid w:val="00967579"/>
    <w:rsid w:val="0096766A"/>
    <w:rsid w:val="009700FB"/>
    <w:rsid w:val="00970341"/>
    <w:rsid w:val="00970916"/>
    <w:rsid w:val="00970C64"/>
    <w:rsid w:val="00971035"/>
    <w:rsid w:val="009710F4"/>
    <w:rsid w:val="0097127A"/>
    <w:rsid w:val="0097158F"/>
    <w:rsid w:val="0097167F"/>
    <w:rsid w:val="009717EA"/>
    <w:rsid w:val="009718F2"/>
    <w:rsid w:val="00972064"/>
    <w:rsid w:val="009723E8"/>
    <w:rsid w:val="0097267C"/>
    <w:rsid w:val="0097269E"/>
    <w:rsid w:val="00972ADA"/>
    <w:rsid w:val="00972CA9"/>
    <w:rsid w:val="00972F35"/>
    <w:rsid w:val="00972FBD"/>
    <w:rsid w:val="0097334D"/>
    <w:rsid w:val="009733E4"/>
    <w:rsid w:val="009735A7"/>
    <w:rsid w:val="00973714"/>
    <w:rsid w:val="00973786"/>
    <w:rsid w:val="0097399B"/>
    <w:rsid w:val="00973CFF"/>
    <w:rsid w:val="009742B9"/>
    <w:rsid w:val="009742C8"/>
    <w:rsid w:val="009743E9"/>
    <w:rsid w:val="0097481B"/>
    <w:rsid w:val="00974AF0"/>
    <w:rsid w:val="00974B95"/>
    <w:rsid w:val="00974C7C"/>
    <w:rsid w:val="00974F6B"/>
    <w:rsid w:val="00974FAF"/>
    <w:rsid w:val="00975362"/>
    <w:rsid w:val="00975891"/>
    <w:rsid w:val="009759B0"/>
    <w:rsid w:val="00975C38"/>
    <w:rsid w:val="00975E31"/>
    <w:rsid w:val="00975F49"/>
    <w:rsid w:val="00976423"/>
    <w:rsid w:val="00976554"/>
    <w:rsid w:val="009765B1"/>
    <w:rsid w:val="00976DA5"/>
    <w:rsid w:val="00977524"/>
    <w:rsid w:val="00977659"/>
    <w:rsid w:val="009776E9"/>
    <w:rsid w:val="009803FD"/>
    <w:rsid w:val="0098055D"/>
    <w:rsid w:val="009805B2"/>
    <w:rsid w:val="00980E66"/>
    <w:rsid w:val="00980EE9"/>
    <w:rsid w:val="0098103C"/>
    <w:rsid w:val="00981241"/>
    <w:rsid w:val="0098140F"/>
    <w:rsid w:val="00981A40"/>
    <w:rsid w:val="00981AB6"/>
    <w:rsid w:val="00981E56"/>
    <w:rsid w:val="00981F18"/>
    <w:rsid w:val="009820CC"/>
    <w:rsid w:val="0098217A"/>
    <w:rsid w:val="009822F9"/>
    <w:rsid w:val="00982548"/>
    <w:rsid w:val="00982785"/>
    <w:rsid w:val="00982996"/>
    <w:rsid w:val="00982C21"/>
    <w:rsid w:val="00982DBB"/>
    <w:rsid w:val="00982DC4"/>
    <w:rsid w:val="0098343C"/>
    <w:rsid w:val="00983D20"/>
    <w:rsid w:val="00984385"/>
    <w:rsid w:val="00984B0C"/>
    <w:rsid w:val="00984C65"/>
    <w:rsid w:val="00984E1B"/>
    <w:rsid w:val="00985039"/>
    <w:rsid w:val="00985093"/>
    <w:rsid w:val="00985154"/>
    <w:rsid w:val="009852BC"/>
    <w:rsid w:val="0098562D"/>
    <w:rsid w:val="00985865"/>
    <w:rsid w:val="0098588C"/>
    <w:rsid w:val="009858FA"/>
    <w:rsid w:val="0098591D"/>
    <w:rsid w:val="009860F3"/>
    <w:rsid w:val="0098642C"/>
    <w:rsid w:val="00986930"/>
    <w:rsid w:val="00986B9F"/>
    <w:rsid w:val="00986DF6"/>
    <w:rsid w:val="00986ECF"/>
    <w:rsid w:val="00986F73"/>
    <w:rsid w:val="009870CC"/>
    <w:rsid w:val="00987112"/>
    <w:rsid w:val="00987719"/>
    <w:rsid w:val="00987E14"/>
    <w:rsid w:val="00987E96"/>
    <w:rsid w:val="009900A1"/>
    <w:rsid w:val="0099024A"/>
    <w:rsid w:val="0099026E"/>
    <w:rsid w:val="00990447"/>
    <w:rsid w:val="00990474"/>
    <w:rsid w:val="0099048C"/>
    <w:rsid w:val="009905D4"/>
    <w:rsid w:val="0099063B"/>
    <w:rsid w:val="009907B2"/>
    <w:rsid w:val="009907C5"/>
    <w:rsid w:val="00990C21"/>
    <w:rsid w:val="0099105D"/>
    <w:rsid w:val="00991425"/>
    <w:rsid w:val="00991520"/>
    <w:rsid w:val="00991527"/>
    <w:rsid w:val="0099195A"/>
    <w:rsid w:val="00991A4B"/>
    <w:rsid w:val="00991FB5"/>
    <w:rsid w:val="0099222A"/>
    <w:rsid w:val="0099229B"/>
    <w:rsid w:val="009926A1"/>
    <w:rsid w:val="00992735"/>
    <w:rsid w:val="009927CC"/>
    <w:rsid w:val="00992DBB"/>
    <w:rsid w:val="00992E95"/>
    <w:rsid w:val="00993663"/>
    <w:rsid w:val="00993CE9"/>
    <w:rsid w:val="00993E21"/>
    <w:rsid w:val="009941CD"/>
    <w:rsid w:val="00994430"/>
    <w:rsid w:val="0099444A"/>
    <w:rsid w:val="00994731"/>
    <w:rsid w:val="00994A45"/>
    <w:rsid w:val="00994BE2"/>
    <w:rsid w:val="00994D3F"/>
    <w:rsid w:val="00994D8C"/>
    <w:rsid w:val="00994F64"/>
    <w:rsid w:val="0099557D"/>
    <w:rsid w:val="00995F96"/>
    <w:rsid w:val="00996547"/>
    <w:rsid w:val="009965C7"/>
    <w:rsid w:val="009967BA"/>
    <w:rsid w:val="0099696E"/>
    <w:rsid w:val="0099699A"/>
    <w:rsid w:val="00997086"/>
    <w:rsid w:val="009978A3"/>
    <w:rsid w:val="00997902"/>
    <w:rsid w:val="009A0839"/>
    <w:rsid w:val="009A09BA"/>
    <w:rsid w:val="009A0A80"/>
    <w:rsid w:val="009A0F3C"/>
    <w:rsid w:val="009A14FC"/>
    <w:rsid w:val="009A15FA"/>
    <w:rsid w:val="009A1772"/>
    <w:rsid w:val="009A181D"/>
    <w:rsid w:val="009A218B"/>
    <w:rsid w:val="009A23BA"/>
    <w:rsid w:val="009A2740"/>
    <w:rsid w:val="009A2D8F"/>
    <w:rsid w:val="009A3066"/>
    <w:rsid w:val="009A30A4"/>
    <w:rsid w:val="009A3240"/>
    <w:rsid w:val="009A36D1"/>
    <w:rsid w:val="009A38E2"/>
    <w:rsid w:val="009A3975"/>
    <w:rsid w:val="009A399F"/>
    <w:rsid w:val="009A3AB5"/>
    <w:rsid w:val="009A3BAB"/>
    <w:rsid w:val="009A3C8D"/>
    <w:rsid w:val="009A41E4"/>
    <w:rsid w:val="009A464A"/>
    <w:rsid w:val="009A4959"/>
    <w:rsid w:val="009A4D27"/>
    <w:rsid w:val="009A5A02"/>
    <w:rsid w:val="009A5B62"/>
    <w:rsid w:val="009A5E78"/>
    <w:rsid w:val="009A5FCE"/>
    <w:rsid w:val="009A616B"/>
    <w:rsid w:val="009A61B2"/>
    <w:rsid w:val="009A65C4"/>
    <w:rsid w:val="009A66A4"/>
    <w:rsid w:val="009A66C8"/>
    <w:rsid w:val="009A6733"/>
    <w:rsid w:val="009A69B4"/>
    <w:rsid w:val="009A69B7"/>
    <w:rsid w:val="009A6DED"/>
    <w:rsid w:val="009A6EE2"/>
    <w:rsid w:val="009A6FCC"/>
    <w:rsid w:val="009A7183"/>
    <w:rsid w:val="009A72CE"/>
    <w:rsid w:val="009A7562"/>
    <w:rsid w:val="009A76C8"/>
    <w:rsid w:val="009A780C"/>
    <w:rsid w:val="009A78A3"/>
    <w:rsid w:val="009A7AD4"/>
    <w:rsid w:val="009A7D87"/>
    <w:rsid w:val="009A7F48"/>
    <w:rsid w:val="009B0440"/>
    <w:rsid w:val="009B0805"/>
    <w:rsid w:val="009B0956"/>
    <w:rsid w:val="009B09DE"/>
    <w:rsid w:val="009B0D89"/>
    <w:rsid w:val="009B12D0"/>
    <w:rsid w:val="009B1AF9"/>
    <w:rsid w:val="009B1EAC"/>
    <w:rsid w:val="009B1F18"/>
    <w:rsid w:val="009B280B"/>
    <w:rsid w:val="009B2A5F"/>
    <w:rsid w:val="009B2B54"/>
    <w:rsid w:val="009B2FDD"/>
    <w:rsid w:val="009B320A"/>
    <w:rsid w:val="009B32A4"/>
    <w:rsid w:val="009B3952"/>
    <w:rsid w:val="009B3CE8"/>
    <w:rsid w:val="009B3EC4"/>
    <w:rsid w:val="009B41C5"/>
    <w:rsid w:val="009B46D0"/>
    <w:rsid w:val="009B4897"/>
    <w:rsid w:val="009B520E"/>
    <w:rsid w:val="009B5294"/>
    <w:rsid w:val="009B5437"/>
    <w:rsid w:val="009B572D"/>
    <w:rsid w:val="009B59F4"/>
    <w:rsid w:val="009B5B06"/>
    <w:rsid w:val="009B5DAC"/>
    <w:rsid w:val="009B689E"/>
    <w:rsid w:val="009C0D84"/>
    <w:rsid w:val="009C112A"/>
    <w:rsid w:val="009C1397"/>
    <w:rsid w:val="009C17AE"/>
    <w:rsid w:val="009C1822"/>
    <w:rsid w:val="009C1F55"/>
    <w:rsid w:val="009C21DB"/>
    <w:rsid w:val="009C2240"/>
    <w:rsid w:val="009C245E"/>
    <w:rsid w:val="009C2BB6"/>
    <w:rsid w:val="009C2C44"/>
    <w:rsid w:val="009C2CD3"/>
    <w:rsid w:val="009C2D8F"/>
    <w:rsid w:val="009C2DC7"/>
    <w:rsid w:val="009C3640"/>
    <w:rsid w:val="009C37FC"/>
    <w:rsid w:val="009C3AA1"/>
    <w:rsid w:val="009C3AD3"/>
    <w:rsid w:val="009C3F95"/>
    <w:rsid w:val="009C4002"/>
    <w:rsid w:val="009C4AA9"/>
    <w:rsid w:val="009C4AF4"/>
    <w:rsid w:val="009C4BF6"/>
    <w:rsid w:val="009C4D9E"/>
    <w:rsid w:val="009C504C"/>
    <w:rsid w:val="009C50E1"/>
    <w:rsid w:val="009C52B2"/>
    <w:rsid w:val="009C5340"/>
    <w:rsid w:val="009C552C"/>
    <w:rsid w:val="009C5B11"/>
    <w:rsid w:val="009C5D38"/>
    <w:rsid w:val="009C61FB"/>
    <w:rsid w:val="009C61FF"/>
    <w:rsid w:val="009C630E"/>
    <w:rsid w:val="009C6329"/>
    <w:rsid w:val="009C6658"/>
    <w:rsid w:val="009C6A19"/>
    <w:rsid w:val="009C6F30"/>
    <w:rsid w:val="009C6F90"/>
    <w:rsid w:val="009C783F"/>
    <w:rsid w:val="009C7E30"/>
    <w:rsid w:val="009D01D6"/>
    <w:rsid w:val="009D0216"/>
    <w:rsid w:val="009D05E7"/>
    <w:rsid w:val="009D06DD"/>
    <w:rsid w:val="009D109F"/>
    <w:rsid w:val="009D189E"/>
    <w:rsid w:val="009D18D2"/>
    <w:rsid w:val="009D1CF1"/>
    <w:rsid w:val="009D2483"/>
    <w:rsid w:val="009D2853"/>
    <w:rsid w:val="009D2D5A"/>
    <w:rsid w:val="009D2E5F"/>
    <w:rsid w:val="009D2F3F"/>
    <w:rsid w:val="009D3441"/>
    <w:rsid w:val="009D365A"/>
    <w:rsid w:val="009D3661"/>
    <w:rsid w:val="009D3939"/>
    <w:rsid w:val="009D3E55"/>
    <w:rsid w:val="009D401B"/>
    <w:rsid w:val="009D40F0"/>
    <w:rsid w:val="009D46AD"/>
    <w:rsid w:val="009D47CD"/>
    <w:rsid w:val="009D482F"/>
    <w:rsid w:val="009D4A07"/>
    <w:rsid w:val="009D4A5C"/>
    <w:rsid w:val="009D4B04"/>
    <w:rsid w:val="009D5636"/>
    <w:rsid w:val="009D56E1"/>
    <w:rsid w:val="009D5921"/>
    <w:rsid w:val="009D59F9"/>
    <w:rsid w:val="009D5B34"/>
    <w:rsid w:val="009D5B49"/>
    <w:rsid w:val="009D5C7D"/>
    <w:rsid w:val="009D5E78"/>
    <w:rsid w:val="009D639D"/>
    <w:rsid w:val="009D6D6B"/>
    <w:rsid w:val="009D7318"/>
    <w:rsid w:val="009D745C"/>
    <w:rsid w:val="009D7542"/>
    <w:rsid w:val="009D77EE"/>
    <w:rsid w:val="009D7808"/>
    <w:rsid w:val="009D7B78"/>
    <w:rsid w:val="009D7C98"/>
    <w:rsid w:val="009E0164"/>
    <w:rsid w:val="009E0168"/>
    <w:rsid w:val="009E0203"/>
    <w:rsid w:val="009E0514"/>
    <w:rsid w:val="009E0520"/>
    <w:rsid w:val="009E059E"/>
    <w:rsid w:val="009E0B1D"/>
    <w:rsid w:val="009E0DC4"/>
    <w:rsid w:val="009E0E61"/>
    <w:rsid w:val="009E105F"/>
    <w:rsid w:val="009E1730"/>
    <w:rsid w:val="009E1A45"/>
    <w:rsid w:val="009E1A56"/>
    <w:rsid w:val="009E2002"/>
    <w:rsid w:val="009E2102"/>
    <w:rsid w:val="009E2640"/>
    <w:rsid w:val="009E2853"/>
    <w:rsid w:val="009E2A26"/>
    <w:rsid w:val="009E2AB0"/>
    <w:rsid w:val="009E2D8F"/>
    <w:rsid w:val="009E2DBC"/>
    <w:rsid w:val="009E2DCF"/>
    <w:rsid w:val="009E2E60"/>
    <w:rsid w:val="009E30EF"/>
    <w:rsid w:val="009E3339"/>
    <w:rsid w:val="009E334B"/>
    <w:rsid w:val="009E3490"/>
    <w:rsid w:val="009E351F"/>
    <w:rsid w:val="009E35D2"/>
    <w:rsid w:val="009E37EF"/>
    <w:rsid w:val="009E3AA2"/>
    <w:rsid w:val="009E3E47"/>
    <w:rsid w:val="009E41DC"/>
    <w:rsid w:val="009E46C7"/>
    <w:rsid w:val="009E47FB"/>
    <w:rsid w:val="009E4AB4"/>
    <w:rsid w:val="009E4D8C"/>
    <w:rsid w:val="009E4E16"/>
    <w:rsid w:val="009E4FF1"/>
    <w:rsid w:val="009E51B0"/>
    <w:rsid w:val="009E54E4"/>
    <w:rsid w:val="009E5545"/>
    <w:rsid w:val="009E572C"/>
    <w:rsid w:val="009E5958"/>
    <w:rsid w:val="009E59B0"/>
    <w:rsid w:val="009E59DC"/>
    <w:rsid w:val="009E5A2A"/>
    <w:rsid w:val="009E5C71"/>
    <w:rsid w:val="009E5CB2"/>
    <w:rsid w:val="009E5F01"/>
    <w:rsid w:val="009E60AB"/>
    <w:rsid w:val="009E62C7"/>
    <w:rsid w:val="009E64CD"/>
    <w:rsid w:val="009E6721"/>
    <w:rsid w:val="009E6A38"/>
    <w:rsid w:val="009E6A51"/>
    <w:rsid w:val="009E7364"/>
    <w:rsid w:val="009E73A5"/>
    <w:rsid w:val="009E775A"/>
    <w:rsid w:val="009F0CBD"/>
    <w:rsid w:val="009F0ECA"/>
    <w:rsid w:val="009F103A"/>
    <w:rsid w:val="009F1143"/>
    <w:rsid w:val="009F1476"/>
    <w:rsid w:val="009F158D"/>
    <w:rsid w:val="009F1BD5"/>
    <w:rsid w:val="009F1E79"/>
    <w:rsid w:val="009F2A20"/>
    <w:rsid w:val="009F2BE3"/>
    <w:rsid w:val="009F2E10"/>
    <w:rsid w:val="009F2E74"/>
    <w:rsid w:val="009F33FC"/>
    <w:rsid w:val="009F34CE"/>
    <w:rsid w:val="009F351D"/>
    <w:rsid w:val="009F369E"/>
    <w:rsid w:val="009F39D2"/>
    <w:rsid w:val="009F3AF5"/>
    <w:rsid w:val="009F3D8D"/>
    <w:rsid w:val="009F419C"/>
    <w:rsid w:val="009F42D3"/>
    <w:rsid w:val="009F44A1"/>
    <w:rsid w:val="009F46BC"/>
    <w:rsid w:val="009F4776"/>
    <w:rsid w:val="009F4A0A"/>
    <w:rsid w:val="009F4C88"/>
    <w:rsid w:val="009F4E3B"/>
    <w:rsid w:val="009F598D"/>
    <w:rsid w:val="009F5B0C"/>
    <w:rsid w:val="009F5BF5"/>
    <w:rsid w:val="009F61B4"/>
    <w:rsid w:val="009F65BE"/>
    <w:rsid w:val="009F6666"/>
    <w:rsid w:val="009F66F0"/>
    <w:rsid w:val="009F6845"/>
    <w:rsid w:val="009F6DB8"/>
    <w:rsid w:val="009F72F8"/>
    <w:rsid w:val="009F74EF"/>
    <w:rsid w:val="009F7DE0"/>
    <w:rsid w:val="00A0004C"/>
    <w:rsid w:val="00A00259"/>
    <w:rsid w:val="00A00294"/>
    <w:rsid w:val="00A0067E"/>
    <w:rsid w:val="00A00751"/>
    <w:rsid w:val="00A00A24"/>
    <w:rsid w:val="00A00E78"/>
    <w:rsid w:val="00A00FF0"/>
    <w:rsid w:val="00A015F7"/>
    <w:rsid w:val="00A01EE3"/>
    <w:rsid w:val="00A01F4F"/>
    <w:rsid w:val="00A02497"/>
    <w:rsid w:val="00A0253B"/>
    <w:rsid w:val="00A026A7"/>
    <w:rsid w:val="00A02AB7"/>
    <w:rsid w:val="00A0359E"/>
    <w:rsid w:val="00A039B9"/>
    <w:rsid w:val="00A03A54"/>
    <w:rsid w:val="00A03E5F"/>
    <w:rsid w:val="00A041A9"/>
    <w:rsid w:val="00A041D2"/>
    <w:rsid w:val="00A0430A"/>
    <w:rsid w:val="00A0463D"/>
    <w:rsid w:val="00A046C7"/>
    <w:rsid w:val="00A04A76"/>
    <w:rsid w:val="00A04CD8"/>
    <w:rsid w:val="00A04DA4"/>
    <w:rsid w:val="00A04DBD"/>
    <w:rsid w:val="00A05206"/>
    <w:rsid w:val="00A05244"/>
    <w:rsid w:val="00A05A67"/>
    <w:rsid w:val="00A05AF2"/>
    <w:rsid w:val="00A0601B"/>
    <w:rsid w:val="00A062B4"/>
    <w:rsid w:val="00A06432"/>
    <w:rsid w:val="00A06714"/>
    <w:rsid w:val="00A06B47"/>
    <w:rsid w:val="00A06BA1"/>
    <w:rsid w:val="00A0744E"/>
    <w:rsid w:val="00A07896"/>
    <w:rsid w:val="00A07F32"/>
    <w:rsid w:val="00A107BB"/>
    <w:rsid w:val="00A1098F"/>
    <w:rsid w:val="00A10A48"/>
    <w:rsid w:val="00A10AD2"/>
    <w:rsid w:val="00A10D2A"/>
    <w:rsid w:val="00A10E2F"/>
    <w:rsid w:val="00A11052"/>
    <w:rsid w:val="00A1110F"/>
    <w:rsid w:val="00A11733"/>
    <w:rsid w:val="00A11EC9"/>
    <w:rsid w:val="00A11ED3"/>
    <w:rsid w:val="00A12928"/>
    <w:rsid w:val="00A12A31"/>
    <w:rsid w:val="00A12AC9"/>
    <w:rsid w:val="00A12E76"/>
    <w:rsid w:val="00A138E8"/>
    <w:rsid w:val="00A13B2C"/>
    <w:rsid w:val="00A13BCD"/>
    <w:rsid w:val="00A1412C"/>
    <w:rsid w:val="00A14175"/>
    <w:rsid w:val="00A14226"/>
    <w:rsid w:val="00A14845"/>
    <w:rsid w:val="00A14A99"/>
    <w:rsid w:val="00A14EFC"/>
    <w:rsid w:val="00A14FB6"/>
    <w:rsid w:val="00A151A6"/>
    <w:rsid w:val="00A151DC"/>
    <w:rsid w:val="00A1547D"/>
    <w:rsid w:val="00A1550F"/>
    <w:rsid w:val="00A15870"/>
    <w:rsid w:val="00A15A98"/>
    <w:rsid w:val="00A15D31"/>
    <w:rsid w:val="00A15E13"/>
    <w:rsid w:val="00A160DE"/>
    <w:rsid w:val="00A16A2B"/>
    <w:rsid w:val="00A16C63"/>
    <w:rsid w:val="00A16D4B"/>
    <w:rsid w:val="00A16D71"/>
    <w:rsid w:val="00A1744B"/>
    <w:rsid w:val="00A17924"/>
    <w:rsid w:val="00A17AF4"/>
    <w:rsid w:val="00A20102"/>
    <w:rsid w:val="00A201AE"/>
    <w:rsid w:val="00A201FD"/>
    <w:rsid w:val="00A2088D"/>
    <w:rsid w:val="00A20E0D"/>
    <w:rsid w:val="00A20FEF"/>
    <w:rsid w:val="00A211D0"/>
    <w:rsid w:val="00A21727"/>
    <w:rsid w:val="00A2177E"/>
    <w:rsid w:val="00A21D2C"/>
    <w:rsid w:val="00A21FD3"/>
    <w:rsid w:val="00A22014"/>
    <w:rsid w:val="00A2201A"/>
    <w:rsid w:val="00A223EE"/>
    <w:rsid w:val="00A224ED"/>
    <w:rsid w:val="00A22566"/>
    <w:rsid w:val="00A225FE"/>
    <w:rsid w:val="00A22945"/>
    <w:rsid w:val="00A2296E"/>
    <w:rsid w:val="00A22B80"/>
    <w:rsid w:val="00A22C1C"/>
    <w:rsid w:val="00A23237"/>
    <w:rsid w:val="00A235EA"/>
    <w:rsid w:val="00A23F86"/>
    <w:rsid w:val="00A243C5"/>
    <w:rsid w:val="00A24582"/>
    <w:rsid w:val="00A245A4"/>
    <w:rsid w:val="00A24708"/>
    <w:rsid w:val="00A248DD"/>
    <w:rsid w:val="00A24AE9"/>
    <w:rsid w:val="00A24BBF"/>
    <w:rsid w:val="00A24F1C"/>
    <w:rsid w:val="00A24FB8"/>
    <w:rsid w:val="00A25015"/>
    <w:rsid w:val="00A250EF"/>
    <w:rsid w:val="00A25540"/>
    <w:rsid w:val="00A257BC"/>
    <w:rsid w:val="00A25B9C"/>
    <w:rsid w:val="00A25CA5"/>
    <w:rsid w:val="00A25E6D"/>
    <w:rsid w:val="00A26520"/>
    <w:rsid w:val="00A26551"/>
    <w:rsid w:val="00A26713"/>
    <w:rsid w:val="00A26B96"/>
    <w:rsid w:val="00A27510"/>
    <w:rsid w:val="00A27895"/>
    <w:rsid w:val="00A27C07"/>
    <w:rsid w:val="00A27C45"/>
    <w:rsid w:val="00A301DA"/>
    <w:rsid w:val="00A303E2"/>
    <w:rsid w:val="00A308F9"/>
    <w:rsid w:val="00A30AF2"/>
    <w:rsid w:val="00A30C7F"/>
    <w:rsid w:val="00A30C94"/>
    <w:rsid w:val="00A30E5B"/>
    <w:rsid w:val="00A311F2"/>
    <w:rsid w:val="00A312F6"/>
    <w:rsid w:val="00A314FF"/>
    <w:rsid w:val="00A3156A"/>
    <w:rsid w:val="00A31661"/>
    <w:rsid w:val="00A31DBD"/>
    <w:rsid w:val="00A31EEA"/>
    <w:rsid w:val="00A3225D"/>
    <w:rsid w:val="00A322CA"/>
    <w:rsid w:val="00A3270E"/>
    <w:rsid w:val="00A32853"/>
    <w:rsid w:val="00A32A59"/>
    <w:rsid w:val="00A32C51"/>
    <w:rsid w:val="00A32CCF"/>
    <w:rsid w:val="00A32D0D"/>
    <w:rsid w:val="00A32D8C"/>
    <w:rsid w:val="00A32F86"/>
    <w:rsid w:val="00A336AC"/>
    <w:rsid w:val="00A337F0"/>
    <w:rsid w:val="00A3380D"/>
    <w:rsid w:val="00A340FF"/>
    <w:rsid w:val="00A344F7"/>
    <w:rsid w:val="00A34535"/>
    <w:rsid w:val="00A34661"/>
    <w:rsid w:val="00A346A0"/>
    <w:rsid w:val="00A34892"/>
    <w:rsid w:val="00A34B5E"/>
    <w:rsid w:val="00A356F1"/>
    <w:rsid w:val="00A35902"/>
    <w:rsid w:val="00A35A9B"/>
    <w:rsid w:val="00A35EDD"/>
    <w:rsid w:val="00A3607A"/>
    <w:rsid w:val="00A3610A"/>
    <w:rsid w:val="00A362A5"/>
    <w:rsid w:val="00A36506"/>
    <w:rsid w:val="00A36543"/>
    <w:rsid w:val="00A367BC"/>
    <w:rsid w:val="00A367F8"/>
    <w:rsid w:val="00A3687E"/>
    <w:rsid w:val="00A36978"/>
    <w:rsid w:val="00A369DD"/>
    <w:rsid w:val="00A36B22"/>
    <w:rsid w:val="00A36DC3"/>
    <w:rsid w:val="00A37079"/>
    <w:rsid w:val="00A37529"/>
    <w:rsid w:val="00A37639"/>
    <w:rsid w:val="00A377DC"/>
    <w:rsid w:val="00A3786D"/>
    <w:rsid w:val="00A37A6D"/>
    <w:rsid w:val="00A37C8F"/>
    <w:rsid w:val="00A37CAC"/>
    <w:rsid w:val="00A37D62"/>
    <w:rsid w:val="00A4094D"/>
    <w:rsid w:val="00A40980"/>
    <w:rsid w:val="00A40F13"/>
    <w:rsid w:val="00A412F4"/>
    <w:rsid w:val="00A41789"/>
    <w:rsid w:val="00A41A12"/>
    <w:rsid w:val="00A41C31"/>
    <w:rsid w:val="00A423F7"/>
    <w:rsid w:val="00A426C4"/>
    <w:rsid w:val="00A42931"/>
    <w:rsid w:val="00A429B2"/>
    <w:rsid w:val="00A42F4F"/>
    <w:rsid w:val="00A43020"/>
    <w:rsid w:val="00A43033"/>
    <w:rsid w:val="00A43511"/>
    <w:rsid w:val="00A43903"/>
    <w:rsid w:val="00A441CF"/>
    <w:rsid w:val="00A443E0"/>
    <w:rsid w:val="00A4440C"/>
    <w:rsid w:val="00A44557"/>
    <w:rsid w:val="00A447A2"/>
    <w:rsid w:val="00A447F5"/>
    <w:rsid w:val="00A449E2"/>
    <w:rsid w:val="00A44C60"/>
    <w:rsid w:val="00A44CA4"/>
    <w:rsid w:val="00A45A24"/>
    <w:rsid w:val="00A46258"/>
    <w:rsid w:val="00A46389"/>
    <w:rsid w:val="00A46840"/>
    <w:rsid w:val="00A47319"/>
    <w:rsid w:val="00A47507"/>
    <w:rsid w:val="00A47646"/>
    <w:rsid w:val="00A47846"/>
    <w:rsid w:val="00A47ADF"/>
    <w:rsid w:val="00A47FAD"/>
    <w:rsid w:val="00A50224"/>
    <w:rsid w:val="00A502D9"/>
    <w:rsid w:val="00A50362"/>
    <w:rsid w:val="00A50B41"/>
    <w:rsid w:val="00A50FE5"/>
    <w:rsid w:val="00A51065"/>
    <w:rsid w:val="00A51414"/>
    <w:rsid w:val="00A516BF"/>
    <w:rsid w:val="00A521C1"/>
    <w:rsid w:val="00A5253C"/>
    <w:rsid w:val="00A52774"/>
    <w:rsid w:val="00A527C8"/>
    <w:rsid w:val="00A53F35"/>
    <w:rsid w:val="00A53F8C"/>
    <w:rsid w:val="00A53FFF"/>
    <w:rsid w:val="00A54637"/>
    <w:rsid w:val="00A54ABB"/>
    <w:rsid w:val="00A54F66"/>
    <w:rsid w:val="00A55173"/>
    <w:rsid w:val="00A55597"/>
    <w:rsid w:val="00A5569C"/>
    <w:rsid w:val="00A557F0"/>
    <w:rsid w:val="00A55B34"/>
    <w:rsid w:val="00A55BCE"/>
    <w:rsid w:val="00A561F1"/>
    <w:rsid w:val="00A567AF"/>
    <w:rsid w:val="00A56C2F"/>
    <w:rsid w:val="00A5700C"/>
    <w:rsid w:val="00A57076"/>
    <w:rsid w:val="00A57964"/>
    <w:rsid w:val="00A57B29"/>
    <w:rsid w:val="00A57C91"/>
    <w:rsid w:val="00A60440"/>
    <w:rsid w:val="00A60496"/>
    <w:rsid w:val="00A6108A"/>
    <w:rsid w:val="00A610A1"/>
    <w:rsid w:val="00A612E1"/>
    <w:rsid w:val="00A613A9"/>
    <w:rsid w:val="00A61579"/>
    <w:rsid w:val="00A615CD"/>
    <w:rsid w:val="00A616D9"/>
    <w:rsid w:val="00A61CCA"/>
    <w:rsid w:val="00A620FB"/>
    <w:rsid w:val="00A633B3"/>
    <w:rsid w:val="00A63740"/>
    <w:rsid w:val="00A642C0"/>
    <w:rsid w:val="00A643CA"/>
    <w:rsid w:val="00A6452D"/>
    <w:rsid w:val="00A64728"/>
    <w:rsid w:val="00A64BEC"/>
    <w:rsid w:val="00A64E33"/>
    <w:rsid w:val="00A64E4E"/>
    <w:rsid w:val="00A65313"/>
    <w:rsid w:val="00A653C3"/>
    <w:rsid w:val="00A65574"/>
    <w:rsid w:val="00A65763"/>
    <w:rsid w:val="00A659C8"/>
    <w:rsid w:val="00A65A62"/>
    <w:rsid w:val="00A65B82"/>
    <w:rsid w:val="00A65C03"/>
    <w:rsid w:val="00A6646E"/>
    <w:rsid w:val="00A665ED"/>
    <w:rsid w:val="00A66779"/>
    <w:rsid w:val="00A6678C"/>
    <w:rsid w:val="00A66B09"/>
    <w:rsid w:val="00A66B76"/>
    <w:rsid w:val="00A66D2D"/>
    <w:rsid w:val="00A66DEA"/>
    <w:rsid w:val="00A6778F"/>
    <w:rsid w:val="00A67928"/>
    <w:rsid w:val="00A67C56"/>
    <w:rsid w:val="00A67DCC"/>
    <w:rsid w:val="00A67DF0"/>
    <w:rsid w:val="00A705AC"/>
    <w:rsid w:val="00A7061B"/>
    <w:rsid w:val="00A707F9"/>
    <w:rsid w:val="00A70FAA"/>
    <w:rsid w:val="00A71202"/>
    <w:rsid w:val="00A71319"/>
    <w:rsid w:val="00A7174E"/>
    <w:rsid w:val="00A71EEC"/>
    <w:rsid w:val="00A71F60"/>
    <w:rsid w:val="00A723A2"/>
    <w:rsid w:val="00A72439"/>
    <w:rsid w:val="00A72549"/>
    <w:rsid w:val="00A7264C"/>
    <w:rsid w:val="00A7285A"/>
    <w:rsid w:val="00A729E7"/>
    <w:rsid w:val="00A72EFD"/>
    <w:rsid w:val="00A73E6D"/>
    <w:rsid w:val="00A73E71"/>
    <w:rsid w:val="00A74303"/>
    <w:rsid w:val="00A74699"/>
    <w:rsid w:val="00A7488F"/>
    <w:rsid w:val="00A74A2A"/>
    <w:rsid w:val="00A75293"/>
    <w:rsid w:val="00A75611"/>
    <w:rsid w:val="00A757AF"/>
    <w:rsid w:val="00A7620D"/>
    <w:rsid w:val="00A7635D"/>
    <w:rsid w:val="00A7654F"/>
    <w:rsid w:val="00A7669C"/>
    <w:rsid w:val="00A766BD"/>
    <w:rsid w:val="00A76894"/>
    <w:rsid w:val="00A770BA"/>
    <w:rsid w:val="00A771EF"/>
    <w:rsid w:val="00A772AB"/>
    <w:rsid w:val="00A7751A"/>
    <w:rsid w:val="00A77607"/>
    <w:rsid w:val="00A77BB1"/>
    <w:rsid w:val="00A77C82"/>
    <w:rsid w:val="00A77D63"/>
    <w:rsid w:val="00A80079"/>
    <w:rsid w:val="00A8029E"/>
    <w:rsid w:val="00A803A7"/>
    <w:rsid w:val="00A804C1"/>
    <w:rsid w:val="00A80A7B"/>
    <w:rsid w:val="00A80B91"/>
    <w:rsid w:val="00A80DAD"/>
    <w:rsid w:val="00A80DB1"/>
    <w:rsid w:val="00A81446"/>
    <w:rsid w:val="00A814BB"/>
    <w:rsid w:val="00A8152D"/>
    <w:rsid w:val="00A816B1"/>
    <w:rsid w:val="00A8184F"/>
    <w:rsid w:val="00A82359"/>
    <w:rsid w:val="00A82409"/>
    <w:rsid w:val="00A8276A"/>
    <w:rsid w:val="00A828E1"/>
    <w:rsid w:val="00A83174"/>
    <w:rsid w:val="00A8358B"/>
    <w:rsid w:val="00A83598"/>
    <w:rsid w:val="00A83B37"/>
    <w:rsid w:val="00A83B8E"/>
    <w:rsid w:val="00A83D6E"/>
    <w:rsid w:val="00A8488D"/>
    <w:rsid w:val="00A84B32"/>
    <w:rsid w:val="00A84D67"/>
    <w:rsid w:val="00A85176"/>
    <w:rsid w:val="00A85189"/>
    <w:rsid w:val="00A8524A"/>
    <w:rsid w:val="00A8529A"/>
    <w:rsid w:val="00A8592A"/>
    <w:rsid w:val="00A86240"/>
    <w:rsid w:val="00A862BD"/>
    <w:rsid w:val="00A868A5"/>
    <w:rsid w:val="00A868D8"/>
    <w:rsid w:val="00A87457"/>
    <w:rsid w:val="00A874AF"/>
    <w:rsid w:val="00A874CC"/>
    <w:rsid w:val="00A87601"/>
    <w:rsid w:val="00A87774"/>
    <w:rsid w:val="00A87948"/>
    <w:rsid w:val="00A879A9"/>
    <w:rsid w:val="00A87A8D"/>
    <w:rsid w:val="00A87EFF"/>
    <w:rsid w:val="00A903BC"/>
    <w:rsid w:val="00A9049C"/>
    <w:rsid w:val="00A90B99"/>
    <w:rsid w:val="00A90C10"/>
    <w:rsid w:val="00A91110"/>
    <w:rsid w:val="00A912A7"/>
    <w:rsid w:val="00A91B31"/>
    <w:rsid w:val="00A920A2"/>
    <w:rsid w:val="00A92BC4"/>
    <w:rsid w:val="00A931D2"/>
    <w:rsid w:val="00A93362"/>
    <w:rsid w:val="00A935FC"/>
    <w:rsid w:val="00A93C0A"/>
    <w:rsid w:val="00A94250"/>
    <w:rsid w:val="00A94487"/>
    <w:rsid w:val="00A948F2"/>
    <w:rsid w:val="00A94A36"/>
    <w:rsid w:val="00A94B27"/>
    <w:rsid w:val="00A95098"/>
    <w:rsid w:val="00A9532D"/>
    <w:rsid w:val="00A955C4"/>
    <w:rsid w:val="00A9563A"/>
    <w:rsid w:val="00A956DC"/>
    <w:rsid w:val="00A9585C"/>
    <w:rsid w:val="00A959C9"/>
    <w:rsid w:val="00A95BB7"/>
    <w:rsid w:val="00A95DDA"/>
    <w:rsid w:val="00A965C2"/>
    <w:rsid w:val="00A9676E"/>
    <w:rsid w:val="00A96BFE"/>
    <w:rsid w:val="00A96D05"/>
    <w:rsid w:val="00A97798"/>
    <w:rsid w:val="00A978FB"/>
    <w:rsid w:val="00A97933"/>
    <w:rsid w:val="00A97CA4"/>
    <w:rsid w:val="00AA002E"/>
    <w:rsid w:val="00AA0697"/>
    <w:rsid w:val="00AA0CEE"/>
    <w:rsid w:val="00AA0DD9"/>
    <w:rsid w:val="00AA0FC0"/>
    <w:rsid w:val="00AA1022"/>
    <w:rsid w:val="00AA11C8"/>
    <w:rsid w:val="00AA12D9"/>
    <w:rsid w:val="00AA1471"/>
    <w:rsid w:val="00AA14F8"/>
    <w:rsid w:val="00AA17A7"/>
    <w:rsid w:val="00AA1902"/>
    <w:rsid w:val="00AA197D"/>
    <w:rsid w:val="00AA1989"/>
    <w:rsid w:val="00AA1B7B"/>
    <w:rsid w:val="00AA2122"/>
    <w:rsid w:val="00AA2150"/>
    <w:rsid w:val="00AA2755"/>
    <w:rsid w:val="00AA292F"/>
    <w:rsid w:val="00AA3129"/>
    <w:rsid w:val="00AA345F"/>
    <w:rsid w:val="00AA363A"/>
    <w:rsid w:val="00AA3821"/>
    <w:rsid w:val="00AA3878"/>
    <w:rsid w:val="00AA3BFC"/>
    <w:rsid w:val="00AA3FAA"/>
    <w:rsid w:val="00AA400F"/>
    <w:rsid w:val="00AA478D"/>
    <w:rsid w:val="00AA5015"/>
    <w:rsid w:val="00AA54EB"/>
    <w:rsid w:val="00AA5A07"/>
    <w:rsid w:val="00AA5A8C"/>
    <w:rsid w:val="00AA5D00"/>
    <w:rsid w:val="00AA5FD4"/>
    <w:rsid w:val="00AA64D6"/>
    <w:rsid w:val="00AA67AC"/>
    <w:rsid w:val="00AA6854"/>
    <w:rsid w:val="00AA6DE7"/>
    <w:rsid w:val="00AA71B3"/>
    <w:rsid w:val="00AA798B"/>
    <w:rsid w:val="00AA7B03"/>
    <w:rsid w:val="00AA7B18"/>
    <w:rsid w:val="00AA7BC4"/>
    <w:rsid w:val="00AB072B"/>
    <w:rsid w:val="00AB12A8"/>
    <w:rsid w:val="00AB12C4"/>
    <w:rsid w:val="00AB15B2"/>
    <w:rsid w:val="00AB15DE"/>
    <w:rsid w:val="00AB1B6E"/>
    <w:rsid w:val="00AB1CCE"/>
    <w:rsid w:val="00AB1EDB"/>
    <w:rsid w:val="00AB31EF"/>
    <w:rsid w:val="00AB32CF"/>
    <w:rsid w:val="00AB3951"/>
    <w:rsid w:val="00AB3B02"/>
    <w:rsid w:val="00AB40A9"/>
    <w:rsid w:val="00AB40C3"/>
    <w:rsid w:val="00AB4107"/>
    <w:rsid w:val="00AB4960"/>
    <w:rsid w:val="00AB4ABE"/>
    <w:rsid w:val="00AB4ECD"/>
    <w:rsid w:val="00AB5097"/>
    <w:rsid w:val="00AB5493"/>
    <w:rsid w:val="00AB54E2"/>
    <w:rsid w:val="00AB5D8D"/>
    <w:rsid w:val="00AB6434"/>
    <w:rsid w:val="00AB6BF5"/>
    <w:rsid w:val="00AB7163"/>
    <w:rsid w:val="00AB759A"/>
    <w:rsid w:val="00AB7811"/>
    <w:rsid w:val="00AB7944"/>
    <w:rsid w:val="00AC04F5"/>
    <w:rsid w:val="00AC04F7"/>
    <w:rsid w:val="00AC05FA"/>
    <w:rsid w:val="00AC0758"/>
    <w:rsid w:val="00AC0778"/>
    <w:rsid w:val="00AC08BF"/>
    <w:rsid w:val="00AC0A1F"/>
    <w:rsid w:val="00AC0E8A"/>
    <w:rsid w:val="00AC139E"/>
    <w:rsid w:val="00AC14E9"/>
    <w:rsid w:val="00AC1689"/>
    <w:rsid w:val="00AC16FB"/>
    <w:rsid w:val="00AC1B25"/>
    <w:rsid w:val="00AC20E0"/>
    <w:rsid w:val="00AC2102"/>
    <w:rsid w:val="00AC2182"/>
    <w:rsid w:val="00AC22E0"/>
    <w:rsid w:val="00AC26E4"/>
    <w:rsid w:val="00AC278A"/>
    <w:rsid w:val="00AC284F"/>
    <w:rsid w:val="00AC2AD1"/>
    <w:rsid w:val="00AC2D74"/>
    <w:rsid w:val="00AC2FF8"/>
    <w:rsid w:val="00AC3361"/>
    <w:rsid w:val="00AC3497"/>
    <w:rsid w:val="00AC389E"/>
    <w:rsid w:val="00AC3AE4"/>
    <w:rsid w:val="00AC4549"/>
    <w:rsid w:val="00AC469E"/>
    <w:rsid w:val="00AC4A23"/>
    <w:rsid w:val="00AC4ADD"/>
    <w:rsid w:val="00AC4DF1"/>
    <w:rsid w:val="00AC5518"/>
    <w:rsid w:val="00AC55A6"/>
    <w:rsid w:val="00AC566B"/>
    <w:rsid w:val="00AC574E"/>
    <w:rsid w:val="00AC5887"/>
    <w:rsid w:val="00AC5997"/>
    <w:rsid w:val="00AC5A67"/>
    <w:rsid w:val="00AC5AC7"/>
    <w:rsid w:val="00AC5C31"/>
    <w:rsid w:val="00AC618E"/>
    <w:rsid w:val="00AC61B4"/>
    <w:rsid w:val="00AC6425"/>
    <w:rsid w:val="00AC68BD"/>
    <w:rsid w:val="00AC6D9D"/>
    <w:rsid w:val="00AC6FCD"/>
    <w:rsid w:val="00AC7562"/>
    <w:rsid w:val="00AC7893"/>
    <w:rsid w:val="00AC7AF5"/>
    <w:rsid w:val="00AC7DA5"/>
    <w:rsid w:val="00AD0100"/>
    <w:rsid w:val="00AD01D4"/>
    <w:rsid w:val="00AD0375"/>
    <w:rsid w:val="00AD072D"/>
    <w:rsid w:val="00AD075A"/>
    <w:rsid w:val="00AD0C88"/>
    <w:rsid w:val="00AD1182"/>
    <w:rsid w:val="00AD1628"/>
    <w:rsid w:val="00AD177E"/>
    <w:rsid w:val="00AD1988"/>
    <w:rsid w:val="00AD1B72"/>
    <w:rsid w:val="00AD1D86"/>
    <w:rsid w:val="00AD1F36"/>
    <w:rsid w:val="00AD22B7"/>
    <w:rsid w:val="00AD233D"/>
    <w:rsid w:val="00AD25C3"/>
    <w:rsid w:val="00AD2A8C"/>
    <w:rsid w:val="00AD2C61"/>
    <w:rsid w:val="00AD300F"/>
    <w:rsid w:val="00AD30A9"/>
    <w:rsid w:val="00AD35FA"/>
    <w:rsid w:val="00AD3BEA"/>
    <w:rsid w:val="00AD3CA5"/>
    <w:rsid w:val="00AD3FA4"/>
    <w:rsid w:val="00AD4127"/>
    <w:rsid w:val="00AD42CF"/>
    <w:rsid w:val="00AD4AB2"/>
    <w:rsid w:val="00AD4ADE"/>
    <w:rsid w:val="00AD4B5F"/>
    <w:rsid w:val="00AD4C04"/>
    <w:rsid w:val="00AD4CCD"/>
    <w:rsid w:val="00AD5008"/>
    <w:rsid w:val="00AD5756"/>
    <w:rsid w:val="00AD577B"/>
    <w:rsid w:val="00AD5D00"/>
    <w:rsid w:val="00AD5F6E"/>
    <w:rsid w:val="00AD6251"/>
    <w:rsid w:val="00AD6367"/>
    <w:rsid w:val="00AD66AC"/>
    <w:rsid w:val="00AD68F0"/>
    <w:rsid w:val="00AD6942"/>
    <w:rsid w:val="00AD6D06"/>
    <w:rsid w:val="00AD6F1A"/>
    <w:rsid w:val="00AD7221"/>
    <w:rsid w:val="00AD7250"/>
    <w:rsid w:val="00AD754F"/>
    <w:rsid w:val="00AD7C2D"/>
    <w:rsid w:val="00AE0136"/>
    <w:rsid w:val="00AE0C2E"/>
    <w:rsid w:val="00AE106D"/>
    <w:rsid w:val="00AE10B2"/>
    <w:rsid w:val="00AE10E9"/>
    <w:rsid w:val="00AE209D"/>
    <w:rsid w:val="00AE21DD"/>
    <w:rsid w:val="00AE2617"/>
    <w:rsid w:val="00AE2994"/>
    <w:rsid w:val="00AE2CF2"/>
    <w:rsid w:val="00AE2DDC"/>
    <w:rsid w:val="00AE2F32"/>
    <w:rsid w:val="00AE2FF4"/>
    <w:rsid w:val="00AE3A73"/>
    <w:rsid w:val="00AE3BE7"/>
    <w:rsid w:val="00AE3BEF"/>
    <w:rsid w:val="00AE3DE2"/>
    <w:rsid w:val="00AE3F9B"/>
    <w:rsid w:val="00AE413E"/>
    <w:rsid w:val="00AE4295"/>
    <w:rsid w:val="00AE4AEB"/>
    <w:rsid w:val="00AE4B1E"/>
    <w:rsid w:val="00AE4FD1"/>
    <w:rsid w:val="00AE5A05"/>
    <w:rsid w:val="00AE5EAD"/>
    <w:rsid w:val="00AE60F2"/>
    <w:rsid w:val="00AE66A6"/>
    <w:rsid w:val="00AE69F8"/>
    <w:rsid w:val="00AE6D69"/>
    <w:rsid w:val="00AE7178"/>
    <w:rsid w:val="00AE7296"/>
    <w:rsid w:val="00AE747C"/>
    <w:rsid w:val="00AE797C"/>
    <w:rsid w:val="00AE7CFD"/>
    <w:rsid w:val="00AF0AB4"/>
    <w:rsid w:val="00AF0E9B"/>
    <w:rsid w:val="00AF0EA5"/>
    <w:rsid w:val="00AF158C"/>
    <w:rsid w:val="00AF1F9A"/>
    <w:rsid w:val="00AF23A4"/>
    <w:rsid w:val="00AF298B"/>
    <w:rsid w:val="00AF2AC9"/>
    <w:rsid w:val="00AF2AFE"/>
    <w:rsid w:val="00AF2C29"/>
    <w:rsid w:val="00AF2D56"/>
    <w:rsid w:val="00AF3239"/>
    <w:rsid w:val="00AF3272"/>
    <w:rsid w:val="00AF3464"/>
    <w:rsid w:val="00AF34CF"/>
    <w:rsid w:val="00AF368F"/>
    <w:rsid w:val="00AF36EE"/>
    <w:rsid w:val="00AF3AC1"/>
    <w:rsid w:val="00AF41F2"/>
    <w:rsid w:val="00AF4543"/>
    <w:rsid w:val="00AF45D3"/>
    <w:rsid w:val="00AF4963"/>
    <w:rsid w:val="00AF4D52"/>
    <w:rsid w:val="00AF50BD"/>
    <w:rsid w:val="00AF5639"/>
    <w:rsid w:val="00AF58FD"/>
    <w:rsid w:val="00AF6199"/>
    <w:rsid w:val="00AF6272"/>
    <w:rsid w:val="00AF63FB"/>
    <w:rsid w:val="00AF6892"/>
    <w:rsid w:val="00AF6A8A"/>
    <w:rsid w:val="00AF6CA6"/>
    <w:rsid w:val="00AF6D43"/>
    <w:rsid w:val="00AF75F9"/>
    <w:rsid w:val="00AF76F9"/>
    <w:rsid w:val="00AF7D1C"/>
    <w:rsid w:val="00B00164"/>
    <w:rsid w:val="00B00300"/>
    <w:rsid w:val="00B00432"/>
    <w:rsid w:val="00B00446"/>
    <w:rsid w:val="00B006FB"/>
    <w:rsid w:val="00B00E35"/>
    <w:rsid w:val="00B0101B"/>
    <w:rsid w:val="00B011A9"/>
    <w:rsid w:val="00B01208"/>
    <w:rsid w:val="00B01487"/>
    <w:rsid w:val="00B01790"/>
    <w:rsid w:val="00B018C1"/>
    <w:rsid w:val="00B0196D"/>
    <w:rsid w:val="00B01A24"/>
    <w:rsid w:val="00B01E02"/>
    <w:rsid w:val="00B01EC7"/>
    <w:rsid w:val="00B02A97"/>
    <w:rsid w:val="00B02D76"/>
    <w:rsid w:val="00B02FA4"/>
    <w:rsid w:val="00B0302B"/>
    <w:rsid w:val="00B0303B"/>
    <w:rsid w:val="00B0303F"/>
    <w:rsid w:val="00B031C4"/>
    <w:rsid w:val="00B034FA"/>
    <w:rsid w:val="00B035A6"/>
    <w:rsid w:val="00B03608"/>
    <w:rsid w:val="00B03639"/>
    <w:rsid w:val="00B0363D"/>
    <w:rsid w:val="00B038EF"/>
    <w:rsid w:val="00B03C2A"/>
    <w:rsid w:val="00B03C62"/>
    <w:rsid w:val="00B04068"/>
    <w:rsid w:val="00B044B2"/>
    <w:rsid w:val="00B04502"/>
    <w:rsid w:val="00B04E02"/>
    <w:rsid w:val="00B04EFF"/>
    <w:rsid w:val="00B05389"/>
    <w:rsid w:val="00B05ACA"/>
    <w:rsid w:val="00B05FDF"/>
    <w:rsid w:val="00B06036"/>
    <w:rsid w:val="00B06609"/>
    <w:rsid w:val="00B06C84"/>
    <w:rsid w:val="00B06C94"/>
    <w:rsid w:val="00B06D91"/>
    <w:rsid w:val="00B0701C"/>
    <w:rsid w:val="00B073BC"/>
    <w:rsid w:val="00B073DE"/>
    <w:rsid w:val="00B07773"/>
    <w:rsid w:val="00B0799C"/>
    <w:rsid w:val="00B07BC4"/>
    <w:rsid w:val="00B07CF3"/>
    <w:rsid w:val="00B100B2"/>
    <w:rsid w:val="00B1074A"/>
    <w:rsid w:val="00B1091C"/>
    <w:rsid w:val="00B10CCB"/>
    <w:rsid w:val="00B10D0D"/>
    <w:rsid w:val="00B10F87"/>
    <w:rsid w:val="00B110A0"/>
    <w:rsid w:val="00B11522"/>
    <w:rsid w:val="00B11B6E"/>
    <w:rsid w:val="00B11CFA"/>
    <w:rsid w:val="00B11D52"/>
    <w:rsid w:val="00B11F7F"/>
    <w:rsid w:val="00B12418"/>
    <w:rsid w:val="00B1247C"/>
    <w:rsid w:val="00B12718"/>
    <w:rsid w:val="00B13149"/>
    <w:rsid w:val="00B13239"/>
    <w:rsid w:val="00B1326D"/>
    <w:rsid w:val="00B13504"/>
    <w:rsid w:val="00B136A7"/>
    <w:rsid w:val="00B13F35"/>
    <w:rsid w:val="00B14026"/>
    <w:rsid w:val="00B140CE"/>
    <w:rsid w:val="00B14576"/>
    <w:rsid w:val="00B147C6"/>
    <w:rsid w:val="00B1483A"/>
    <w:rsid w:val="00B14859"/>
    <w:rsid w:val="00B14CCD"/>
    <w:rsid w:val="00B14EC4"/>
    <w:rsid w:val="00B14F22"/>
    <w:rsid w:val="00B14F69"/>
    <w:rsid w:val="00B152C6"/>
    <w:rsid w:val="00B15430"/>
    <w:rsid w:val="00B15858"/>
    <w:rsid w:val="00B158B6"/>
    <w:rsid w:val="00B15939"/>
    <w:rsid w:val="00B15F38"/>
    <w:rsid w:val="00B161D7"/>
    <w:rsid w:val="00B164C2"/>
    <w:rsid w:val="00B166FC"/>
    <w:rsid w:val="00B16720"/>
    <w:rsid w:val="00B16BC9"/>
    <w:rsid w:val="00B16DDC"/>
    <w:rsid w:val="00B1755F"/>
    <w:rsid w:val="00B1764D"/>
    <w:rsid w:val="00B17EFA"/>
    <w:rsid w:val="00B20422"/>
    <w:rsid w:val="00B205DF"/>
    <w:rsid w:val="00B2085B"/>
    <w:rsid w:val="00B20F4C"/>
    <w:rsid w:val="00B20FAC"/>
    <w:rsid w:val="00B2139B"/>
    <w:rsid w:val="00B21519"/>
    <w:rsid w:val="00B216A2"/>
    <w:rsid w:val="00B2178B"/>
    <w:rsid w:val="00B21841"/>
    <w:rsid w:val="00B21872"/>
    <w:rsid w:val="00B219DA"/>
    <w:rsid w:val="00B21B99"/>
    <w:rsid w:val="00B21FB5"/>
    <w:rsid w:val="00B22053"/>
    <w:rsid w:val="00B22362"/>
    <w:rsid w:val="00B22844"/>
    <w:rsid w:val="00B2348F"/>
    <w:rsid w:val="00B234ED"/>
    <w:rsid w:val="00B23C78"/>
    <w:rsid w:val="00B23CA9"/>
    <w:rsid w:val="00B2414B"/>
    <w:rsid w:val="00B246B2"/>
    <w:rsid w:val="00B247B0"/>
    <w:rsid w:val="00B2489D"/>
    <w:rsid w:val="00B24B7C"/>
    <w:rsid w:val="00B24E3E"/>
    <w:rsid w:val="00B251F0"/>
    <w:rsid w:val="00B25519"/>
    <w:rsid w:val="00B256D7"/>
    <w:rsid w:val="00B257E9"/>
    <w:rsid w:val="00B2599B"/>
    <w:rsid w:val="00B259B9"/>
    <w:rsid w:val="00B25FDC"/>
    <w:rsid w:val="00B2605D"/>
    <w:rsid w:val="00B261AE"/>
    <w:rsid w:val="00B2642B"/>
    <w:rsid w:val="00B26480"/>
    <w:rsid w:val="00B26917"/>
    <w:rsid w:val="00B26A8D"/>
    <w:rsid w:val="00B26B61"/>
    <w:rsid w:val="00B26CFE"/>
    <w:rsid w:val="00B26D08"/>
    <w:rsid w:val="00B27367"/>
    <w:rsid w:val="00B277CE"/>
    <w:rsid w:val="00B27C9F"/>
    <w:rsid w:val="00B300B6"/>
    <w:rsid w:val="00B30184"/>
    <w:rsid w:val="00B3074A"/>
    <w:rsid w:val="00B30938"/>
    <w:rsid w:val="00B30BB0"/>
    <w:rsid w:val="00B31015"/>
    <w:rsid w:val="00B310BD"/>
    <w:rsid w:val="00B31310"/>
    <w:rsid w:val="00B31575"/>
    <w:rsid w:val="00B31617"/>
    <w:rsid w:val="00B31628"/>
    <w:rsid w:val="00B31669"/>
    <w:rsid w:val="00B31672"/>
    <w:rsid w:val="00B31D93"/>
    <w:rsid w:val="00B31DC9"/>
    <w:rsid w:val="00B3243A"/>
    <w:rsid w:val="00B32721"/>
    <w:rsid w:val="00B32DE0"/>
    <w:rsid w:val="00B32E45"/>
    <w:rsid w:val="00B33779"/>
    <w:rsid w:val="00B337A0"/>
    <w:rsid w:val="00B33809"/>
    <w:rsid w:val="00B33AA3"/>
    <w:rsid w:val="00B33DC3"/>
    <w:rsid w:val="00B3419F"/>
    <w:rsid w:val="00B3434E"/>
    <w:rsid w:val="00B346BE"/>
    <w:rsid w:val="00B34BF8"/>
    <w:rsid w:val="00B35185"/>
    <w:rsid w:val="00B354B0"/>
    <w:rsid w:val="00B3579C"/>
    <w:rsid w:val="00B358E0"/>
    <w:rsid w:val="00B360D6"/>
    <w:rsid w:val="00B36350"/>
    <w:rsid w:val="00B3635D"/>
    <w:rsid w:val="00B36982"/>
    <w:rsid w:val="00B369FC"/>
    <w:rsid w:val="00B36E20"/>
    <w:rsid w:val="00B36F11"/>
    <w:rsid w:val="00B36F7F"/>
    <w:rsid w:val="00B3742D"/>
    <w:rsid w:val="00B37650"/>
    <w:rsid w:val="00B37788"/>
    <w:rsid w:val="00B37810"/>
    <w:rsid w:val="00B37C16"/>
    <w:rsid w:val="00B40062"/>
    <w:rsid w:val="00B40613"/>
    <w:rsid w:val="00B406DB"/>
    <w:rsid w:val="00B40A63"/>
    <w:rsid w:val="00B40FBB"/>
    <w:rsid w:val="00B415C6"/>
    <w:rsid w:val="00B417B3"/>
    <w:rsid w:val="00B41AF0"/>
    <w:rsid w:val="00B420D6"/>
    <w:rsid w:val="00B421CA"/>
    <w:rsid w:val="00B422C0"/>
    <w:rsid w:val="00B4263C"/>
    <w:rsid w:val="00B42858"/>
    <w:rsid w:val="00B429F0"/>
    <w:rsid w:val="00B42BEB"/>
    <w:rsid w:val="00B42E7A"/>
    <w:rsid w:val="00B430DD"/>
    <w:rsid w:val="00B4328C"/>
    <w:rsid w:val="00B43309"/>
    <w:rsid w:val="00B433B8"/>
    <w:rsid w:val="00B43825"/>
    <w:rsid w:val="00B43A7C"/>
    <w:rsid w:val="00B43DCB"/>
    <w:rsid w:val="00B43E01"/>
    <w:rsid w:val="00B441E0"/>
    <w:rsid w:val="00B44888"/>
    <w:rsid w:val="00B44BA1"/>
    <w:rsid w:val="00B44C2C"/>
    <w:rsid w:val="00B44CB9"/>
    <w:rsid w:val="00B44CDD"/>
    <w:rsid w:val="00B44E44"/>
    <w:rsid w:val="00B44E8E"/>
    <w:rsid w:val="00B456B6"/>
    <w:rsid w:val="00B457F9"/>
    <w:rsid w:val="00B45976"/>
    <w:rsid w:val="00B45A36"/>
    <w:rsid w:val="00B45A73"/>
    <w:rsid w:val="00B45BD0"/>
    <w:rsid w:val="00B46A86"/>
    <w:rsid w:val="00B46E08"/>
    <w:rsid w:val="00B46F1B"/>
    <w:rsid w:val="00B470C4"/>
    <w:rsid w:val="00B47238"/>
    <w:rsid w:val="00B4774F"/>
    <w:rsid w:val="00B47873"/>
    <w:rsid w:val="00B47898"/>
    <w:rsid w:val="00B47EA9"/>
    <w:rsid w:val="00B5048A"/>
    <w:rsid w:val="00B50553"/>
    <w:rsid w:val="00B50699"/>
    <w:rsid w:val="00B506FB"/>
    <w:rsid w:val="00B50A09"/>
    <w:rsid w:val="00B50AB5"/>
    <w:rsid w:val="00B510EB"/>
    <w:rsid w:val="00B51679"/>
    <w:rsid w:val="00B51734"/>
    <w:rsid w:val="00B5206F"/>
    <w:rsid w:val="00B52258"/>
    <w:rsid w:val="00B5283F"/>
    <w:rsid w:val="00B53723"/>
    <w:rsid w:val="00B538C0"/>
    <w:rsid w:val="00B53AE5"/>
    <w:rsid w:val="00B53CA3"/>
    <w:rsid w:val="00B53F2E"/>
    <w:rsid w:val="00B54198"/>
    <w:rsid w:val="00B541E4"/>
    <w:rsid w:val="00B542BD"/>
    <w:rsid w:val="00B54459"/>
    <w:rsid w:val="00B54BA5"/>
    <w:rsid w:val="00B54F80"/>
    <w:rsid w:val="00B55631"/>
    <w:rsid w:val="00B55940"/>
    <w:rsid w:val="00B55AC8"/>
    <w:rsid w:val="00B560FD"/>
    <w:rsid w:val="00B563CE"/>
    <w:rsid w:val="00B565C8"/>
    <w:rsid w:val="00B567C3"/>
    <w:rsid w:val="00B56876"/>
    <w:rsid w:val="00B56960"/>
    <w:rsid w:val="00B56D86"/>
    <w:rsid w:val="00B56DC1"/>
    <w:rsid w:val="00B57463"/>
    <w:rsid w:val="00B57BE7"/>
    <w:rsid w:val="00B57FC3"/>
    <w:rsid w:val="00B60073"/>
    <w:rsid w:val="00B604FE"/>
    <w:rsid w:val="00B60747"/>
    <w:rsid w:val="00B60E88"/>
    <w:rsid w:val="00B614D2"/>
    <w:rsid w:val="00B618FF"/>
    <w:rsid w:val="00B619DC"/>
    <w:rsid w:val="00B61C21"/>
    <w:rsid w:val="00B61EE9"/>
    <w:rsid w:val="00B62121"/>
    <w:rsid w:val="00B624A5"/>
    <w:rsid w:val="00B62511"/>
    <w:rsid w:val="00B62B56"/>
    <w:rsid w:val="00B62F66"/>
    <w:rsid w:val="00B631E3"/>
    <w:rsid w:val="00B635D0"/>
    <w:rsid w:val="00B636C5"/>
    <w:rsid w:val="00B63A17"/>
    <w:rsid w:val="00B63F75"/>
    <w:rsid w:val="00B6447C"/>
    <w:rsid w:val="00B64735"/>
    <w:rsid w:val="00B64949"/>
    <w:rsid w:val="00B64EA5"/>
    <w:rsid w:val="00B64EA7"/>
    <w:rsid w:val="00B651B1"/>
    <w:rsid w:val="00B6587B"/>
    <w:rsid w:val="00B65A8A"/>
    <w:rsid w:val="00B65B4D"/>
    <w:rsid w:val="00B65CCB"/>
    <w:rsid w:val="00B667D0"/>
    <w:rsid w:val="00B66B7C"/>
    <w:rsid w:val="00B66D0C"/>
    <w:rsid w:val="00B66DB2"/>
    <w:rsid w:val="00B66EB0"/>
    <w:rsid w:val="00B66FBA"/>
    <w:rsid w:val="00B67016"/>
    <w:rsid w:val="00B674B4"/>
    <w:rsid w:val="00B67906"/>
    <w:rsid w:val="00B67A5D"/>
    <w:rsid w:val="00B67C85"/>
    <w:rsid w:val="00B67FAA"/>
    <w:rsid w:val="00B7021B"/>
    <w:rsid w:val="00B7045B"/>
    <w:rsid w:val="00B7060C"/>
    <w:rsid w:val="00B70D41"/>
    <w:rsid w:val="00B70DA5"/>
    <w:rsid w:val="00B70EFC"/>
    <w:rsid w:val="00B711DA"/>
    <w:rsid w:val="00B7125B"/>
    <w:rsid w:val="00B7171E"/>
    <w:rsid w:val="00B717FD"/>
    <w:rsid w:val="00B71870"/>
    <w:rsid w:val="00B71A49"/>
    <w:rsid w:val="00B71AA5"/>
    <w:rsid w:val="00B71C51"/>
    <w:rsid w:val="00B71CBD"/>
    <w:rsid w:val="00B7204C"/>
    <w:rsid w:val="00B72622"/>
    <w:rsid w:val="00B72702"/>
    <w:rsid w:val="00B72E31"/>
    <w:rsid w:val="00B72F49"/>
    <w:rsid w:val="00B7317C"/>
    <w:rsid w:val="00B73312"/>
    <w:rsid w:val="00B736B3"/>
    <w:rsid w:val="00B73778"/>
    <w:rsid w:val="00B73ADB"/>
    <w:rsid w:val="00B74816"/>
    <w:rsid w:val="00B749AC"/>
    <w:rsid w:val="00B74D81"/>
    <w:rsid w:val="00B74ED1"/>
    <w:rsid w:val="00B74F68"/>
    <w:rsid w:val="00B755D1"/>
    <w:rsid w:val="00B7582D"/>
    <w:rsid w:val="00B759BD"/>
    <w:rsid w:val="00B75CE1"/>
    <w:rsid w:val="00B75D22"/>
    <w:rsid w:val="00B75E76"/>
    <w:rsid w:val="00B76418"/>
    <w:rsid w:val="00B76490"/>
    <w:rsid w:val="00B764A4"/>
    <w:rsid w:val="00B76624"/>
    <w:rsid w:val="00B77108"/>
    <w:rsid w:val="00B774F2"/>
    <w:rsid w:val="00B777E6"/>
    <w:rsid w:val="00B77C0B"/>
    <w:rsid w:val="00B80195"/>
    <w:rsid w:val="00B80489"/>
    <w:rsid w:val="00B8055C"/>
    <w:rsid w:val="00B80802"/>
    <w:rsid w:val="00B80948"/>
    <w:rsid w:val="00B80B5D"/>
    <w:rsid w:val="00B80D9F"/>
    <w:rsid w:val="00B80E81"/>
    <w:rsid w:val="00B813D9"/>
    <w:rsid w:val="00B8140B"/>
    <w:rsid w:val="00B81439"/>
    <w:rsid w:val="00B81700"/>
    <w:rsid w:val="00B817F2"/>
    <w:rsid w:val="00B818A9"/>
    <w:rsid w:val="00B81B06"/>
    <w:rsid w:val="00B81D15"/>
    <w:rsid w:val="00B8238D"/>
    <w:rsid w:val="00B82977"/>
    <w:rsid w:val="00B829A2"/>
    <w:rsid w:val="00B82A5D"/>
    <w:rsid w:val="00B82B20"/>
    <w:rsid w:val="00B82E42"/>
    <w:rsid w:val="00B839B5"/>
    <w:rsid w:val="00B83D6D"/>
    <w:rsid w:val="00B83EAF"/>
    <w:rsid w:val="00B840A6"/>
    <w:rsid w:val="00B842D4"/>
    <w:rsid w:val="00B843F0"/>
    <w:rsid w:val="00B84444"/>
    <w:rsid w:val="00B84666"/>
    <w:rsid w:val="00B84A79"/>
    <w:rsid w:val="00B84E3E"/>
    <w:rsid w:val="00B85009"/>
    <w:rsid w:val="00B857AA"/>
    <w:rsid w:val="00B85856"/>
    <w:rsid w:val="00B85C9E"/>
    <w:rsid w:val="00B86734"/>
    <w:rsid w:val="00B869CF"/>
    <w:rsid w:val="00B869D9"/>
    <w:rsid w:val="00B86D1B"/>
    <w:rsid w:val="00B87022"/>
    <w:rsid w:val="00B87082"/>
    <w:rsid w:val="00B8731F"/>
    <w:rsid w:val="00B87331"/>
    <w:rsid w:val="00B878DF"/>
    <w:rsid w:val="00B9010E"/>
    <w:rsid w:val="00B90646"/>
    <w:rsid w:val="00B906F2"/>
    <w:rsid w:val="00B90D10"/>
    <w:rsid w:val="00B91438"/>
    <w:rsid w:val="00B914DE"/>
    <w:rsid w:val="00B9164D"/>
    <w:rsid w:val="00B91AB5"/>
    <w:rsid w:val="00B9218C"/>
    <w:rsid w:val="00B9224B"/>
    <w:rsid w:val="00B924EF"/>
    <w:rsid w:val="00B9295D"/>
    <w:rsid w:val="00B92C55"/>
    <w:rsid w:val="00B92F8B"/>
    <w:rsid w:val="00B93083"/>
    <w:rsid w:val="00B9320A"/>
    <w:rsid w:val="00B93223"/>
    <w:rsid w:val="00B932C6"/>
    <w:rsid w:val="00B932FA"/>
    <w:rsid w:val="00B93572"/>
    <w:rsid w:val="00B938EC"/>
    <w:rsid w:val="00B93A9B"/>
    <w:rsid w:val="00B93D07"/>
    <w:rsid w:val="00B93DEA"/>
    <w:rsid w:val="00B93EF1"/>
    <w:rsid w:val="00B93EFE"/>
    <w:rsid w:val="00B945F4"/>
    <w:rsid w:val="00B94A91"/>
    <w:rsid w:val="00B94B2E"/>
    <w:rsid w:val="00B94B4A"/>
    <w:rsid w:val="00B94D4C"/>
    <w:rsid w:val="00B94E20"/>
    <w:rsid w:val="00B94F57"/>
    <w:rsid w:val="00B957E2"/>
    <w:rsid w:val="00B957EF"/>
    <w:rsid w:val="00B95A42"/>
    <w:rsid w:val="00B95A61"/>
    <w:rsid w:val="00B95BBF"/>
    <w:rsid w:val="00B960F2"/>
    <w:rsid w:val="00B96151"/>
    <w:rsid w:val="00B96205"/>
    <w:rsid w:val="00B96354"/>
    <w:rsid w:val="00B97174"/>
    <w:rsid w:val="00B97C13"/>
    <w:rsid w:val="00BA01E4"/>
    <w:rsid w:val="00BA01F7"/>
    <w:rsid w:val="00BA0768"/>
    <w:rsid w:val="00BA0854"/>
    <w:rsid w:val="00BA08D9"/>
    <w:rsid w:val="00BA0A53"/>
    <w:rsid w:val="00BA0C7D"/>
    <w:rsid w:val="00BA0E63"/>
    <w:rsid w:val="00BA0F88"/>
    <w:rsid w:val="00BA0FE4"/>
    <w:rsid w:val="00BA1300"/>
    <w:rsid w:val="00BA1B32"/>
    <w:rsid w:val="00BA1C37"/>
    <w:rsid w:val="00BA20FA"/>
    <w:rsid w:val="00BA25E5"/>
    <w:rsid w:val="00BA261B"/>
    <w:rsid w:val="00BA2757"/>
    <w:rsid w:val="00BA2853"/>
    <w:rsid w:val="00BA2DAE"/>
    <w:rsid w:val="00BA2F23"/>
    <w:rsid w:val="00BA3940"/>
    <w:rsid w:val="00BA3B90"/>
    <w:rsid w:val="00BA55BB"/>
    <w:rsid w:val="00BA5CC1"/>
    <w:rsid w:val="00BA5DA3"/>
    <w:rsid w:val="00BA5DA6"/>
    <w:rsid w:val="00BA5F18"/>
    <w:rsid w:val="00BA5FC2"/>
    <w:rsid w:val="00BA6011"/>
    <w:rsid w:val="00BA6186"/>
    <w:rsid w:val="00BA62C4"/>
    <w:rsid w:val="00BA6420"/>
    <w:rsid w:val="00BA6540"/>
    <w:rsid w:val="00BA69A5"/>
    <w:rsid w:val="00BA6A86"/>
    <w:rsid w:val="00BA7162"/>
    <w:rsid w:val="00BA77CA"/>
    <w:rsid w:val="00BA7EAF"/>
    <w:rsid w:val="00BB0740"/>
    <w:rsid w:val="00BB0D36"/>
    <w:rsid w:val="00BB0EA4"/>
    <w:rsid w:val="00BB131A"/>
    <w:rsid w:val="00BB153F"/>
    <w:rsid w:val="00BB15DC"/>
    <w:rsid w:val="00BB1716"/>
    <w:rsid w:val="00BB18B3"/>
    <w:rsid w:val="00BB18EC"/>
    <w:rsid w:val="00BB1D0F"/>
    <w:rsid w:val="00BB1DA5"/>
    <w:rsid w:val="00BB2236"/>
    <w:rsid w:val="00BB2D08"/>
    <w:rsid w:val="00BB30A5"/>
    <w:rsid w:val="00BB37C1"/>
    <w:rsid w:val="00BB3BC5"/>
    <w:rsid w:val="00BB3C38"/>
    <w:rsid w:val="00BB3F00"/>
    <w:rsid w:val="00BB441D"/>
    <w:rsid w:val="00BB4AA0"/>
    <w:rsid w:val="00BB5070"/>
    <w:rsid w:val="00BB54E5"/>
    <w:rsid w:val="00BB5CFF"/>
    <w:rsid w:val="00BB641C"/>
    <w:rsid w:val="00BB6584"/>
    <w:rsid w:val="00BB6727"/>
    <w:rsid w:val="00BB6A0C"/>
    <w:rsid w:val="00BB6CC5"/>
    <w:rsid w:val="00BB71AA"/>
    <w:rsid w:val="00BB7A5A"/>
    <w:rsid w:val="00BB7C3B"/>
    <w:rsid w:val="00BC04D1"/>
    <w:rsid w:val="00BC0557"/>
    <w:rsid w:val="00BC05BE"/>
    <w:rsid w:val="00BC09DA"/>
    <w:rsid w:val="00BC0AAF"/>
    <w:rsid w:val="00BC0BB6"/>
    <w:rsid w:val="00BC0C36"/>
    <w:rsid w:val="00BC1840"/>
    <w:rsid w:val="00BC1960"/>
    <w:rsid w:val="00BC19C3"/>
    <w:rsid w:val="00BC1A06"/>
    <w:rsid w:val="00BC1B08"/>
    <w:rsid w:val="00BC1E5E"/>
    <w:rsid w:val="00BC2637"/>
    <w:rsid w:val="00BC278F"/>
    <w:rsid w:val="00BC2952"/>
    <w:rsid w:val="00BC2DD9"/>
    <w:rsid w:val="00BC2E42"/>
    <w:rsid w:val="00BC2E8E"/>
    <w:rsid w:val="00BC2E95"/>
    <w:rsid w:val="00BC319B"/>
    <w:rsid w:val="00BC35F9"/>
    <w:rsid w:val="00BC375E"/>
    <w:rsid w:val="00BC3A1D"/>
    <w:rsid w:val="00BC3E2F"/>
    <w:rsid w:val="00BC4016"/>
    <w:rsid w:val="00BC44C5"/>
    <w:rsid w:val="00BC45EA"/>
    <w:rsid w:val="00BC48BC"/>
    <w:rsid w:val="00BC49AF"/>
    <w:rsid w:val="00BC4AC1"/>
    <w:rsid w:val="00BC4AE8"/>
    <w:rsid w:val="00BC4BF2"/>
    <w:rsid w:val="00BC4E42"/>
    <w:rsid w:val="00BC4E4F"/>
    <w:rsid w:val="00BC50FC"/>
    <w:rsid w:val="00BC5EFB"/>
    <w:rsid w:val="00BC666F"/>
    <w:rsid w:val="00BC68D7"/>
    <w:rsid w:val="00BC6D28"/>
    <w:rsid w:val="00BC7184"/>
    <w:rsid w:val="00BC7A19"/>
    <w:rsid w:val="00BC7DB6"/>
    <w:rsid w:val="00BC7FB3"/>
    <w:rsid w:val="00BD030D"/>
    <w:rsid w:val="00BD0392"/>
    <w:rsid w:val="00BD0504"/>
    <w:rsid w:val="00BD06BD"/>
    <w:rsid w:val="00BD0EA9"/>
    <w:rsid w:val="00BD1086"/>
    <w:rsid w:val="00BD13FE"/>
    <w:rsid w:val="00BD1541"/>
    <w:rsid w:val="00BD1682"/>
    <w:rsid w:val="00BD1A4E"/>
    <w:rsid w:val="00BD1ACD"/>
    <w:rsid w:val="00BD1ADB"/>
    <w:rsid w:val="00BD2B5A"/>
    <w:rsid w:val="00BD2C0A"/>
    <w:rsid w:val="00BD2C2B"/>
    <w:rsid w:val="00BD2DE5"/>
    <w:rsid w:val="00BD2F82"/>
    <w:rsid w:val="00BD3024"/>
    <w:rsid w:val="00BD3066"/>
    <w:rsid w:val="00BD3404"/>
    <w:rsid w:val="00BD3541"/>
    <w:rsid w:val="00BD3788"/>
    <w:rsid w:val="00BD37FC"/>
    <w:rsid w:val="00BD38C0"/>
    <w:rsid w:val="00BD39E7"/>
    <w:rsid w:val="00BD3E59"/>
    <w:rsid w:val="00BD4C43"/>
    <w:rsid w:val="00BD4CF3"/>
    <w:rsid w:val="00BD4D6B"/>
    <w:rsid w:val="00BD4E79"/>
    <w:rsid w:val="00BD4FA8"/>
    <w:rsid w:val="00BD4FEF"/>
    <w:rsid w:val="00BD509E"/>
    <w:rsid w:val="00BD511B"/>
    <w:rsid w:val="00BD5577"/>
    <w:rsid w:val="00BD57D7"/>
    <w:rsid w:val="00BD5E3E"/>
    <w:rsid w:val="00BD5EFF"/>
    <w:rsid w:val="00BD5FB1"/>
    <w:rsid w:val="00BD6054"/>
    <w:rsid w:val="00BD6243"/>
    <w:rsid w:val="00BD62C6"/>
    <w:rsid w:val="00BD64C8"/>
    <w:rsid w:val="00BD66E3"/>
    <w:rsid w:val="00BD6B64"/>
    <w:rsid w:val="00BD6C55"/>
    <w:rsid w:val="00BD6EAA"/>
    <w:rsid w:val="00BD6EF3"/>
    <w:rsid w:val="00BD6EF6"/>
    <w:rsid w:val="00BD70A6"/>
    <w:rsid w:val="00BD73F6"/>
    <w:rsid w:val="00BD77C3"/>
    <w:rsid w:val="00BD7929"/>
    <w:rsid w:val="00BD7BB5"/>
    <w:rsid w:val="00BD7DDD"/>
    <w:rsid w:val="00BE029D"/>
    <w:rsid w:val="00BE03E8"/>
    <w:rsid w:val="00BE04E5"/>
    <w:rsid w:val="00BE057B"/>
    <w:rsid w:val="00BE05EB"/>
    <w:rsid w:val="00BE061F"/>
    <w:rsid w:val="00BE120E"/>
    <w:rsid w:val="00BE121B"/>
    <w:rsid w:val="00BE12CD"/>
    <w:rsid w:val="00BE1395"/>
    <w:rsid w:val="00BE147F"/>
    <w:rsid w:val="00BE1770"/>
    <w:rsid w:val="00BE1D78"/>
    <w:rsid w:val="00BE1F23"/>
    <w:rsid w:val="00BE2284"/>
    <w:rsid w:val="00BE2737"/>
    <w:rsid w:val="00BE27E3"/>
    <w:rsid w:val="00BE2A3E"/>
    <w:rsid w:val="00BE2A7F"/>
    <w:rsid w:val="00BE2FDC"/>
    <w:rsid w:val="00BE30BC"/>
    <w:rsid w:val="00BE3441"/>
    <w:rsid w:val="00BE34DC"/>
    <w:rsid w:val="00BE393E"/>
    <w:rsid w:val="00BE395C"/>
    <w:rsid w:val="00BE43BF"/>
    <w:rsid w:val="00BE4458"/>
    <w:rsid w:val="00BE49D9"/>
    <w:rsid w:val="00BE49F3"/>
    <w:rsid w:val="00BE4AE0"/>
    <w:rsid w:val="00BE4DF4"/>
    <w:rsid w:val="00BE4E9E"/>
    <w:rsid w:val="00BE52CB"/>
    <w:rsid w:val="00BE58F8"/>
    <w:rsid w:val="00BE5A3D"/>
    <w:rsid w:val="00BE5BB1"/>
    <w:rsid w:val="00BE62EF"/>
    <w:rsid w:val="00BE6C17"/>
    <w:rsid w:val="00BE6ED9"/>
    <w:rsid w:val="00BE7151"/>
    <w:rsid w:val="00BE7A36"/>
    <w:rsid w:val="00BE7E64"/>
    <w:rsid w:val="00BF003D"/>
    <w:rsid w:val="00BF024F"/>
    <w:rsid w:val="00BF0732"/>
    <w:rsid w:val="00BF0C08"/>
    <w:rsid w:val="00BF0DC7"/>
    <w:rsid w:val="00BF105B"/>
    <w:rsid w:val="00BF13F3"/>
    <w:rsid w:val="00BF14C9"/>
    <w:rsid w:val="00BF16D4"/>
    <w:rsid w:val="00BF1765"/>
    <w:rsid w:val="00BF178A"/>
    <w:rsid w:val="00BF1C79"/>
    <w:rsid w:val="00BF2E74"/>
    <w:rsid w:val="00BF3096"/>
    <w:rsid w:val="00BF31BA"/>
    <w:rsid w:val="00BF3299"/>
    <w:rsid w:val="00BF336F"/>
    <w:rsid w:val="00BF375D"/>
    <w:rsid w:val="00BF37A5"/>
    <w:rsid w:val="00BF37E8"/>
    <w:rsid w:val="00BF3921"/>
    <w:rsid w:val="00BF4747"/>
    <w:rsid w:val="00BF4D29"/>
    <w:rsid w:val="00BF5336"/>
    <w:rsid w:val="00BF53A5"/>
    <w:rsid w:val="00BF55C6"/>
    <w:rsid w:val="00BF5787"/>
    <w:rsid w:val="00BF5E16"/>
    <w:rsid w:val="00BF5F55"/>
    <w:rsid w:val="00BF5F5D"/>
    <w:rsid w:val="00BF605C"/>
    <w:rsid w:val="00BF6798"/>
    <w:rsid w:val="00BF6958"/>
    <w:rsid w:val="00BF6CCB"/>
    <w:rsid w:val="00BF6CD1"/>
    <w:rsid w:val="00BF6FD2"/>
    <w:rsid w:val="00BF7146"/>
    <w:rsid w:val="00BF7311"/>
    <w:rsid w:val="00BF7550"/>
    <w:rsid w:val="00BF779F"/>
    <w:rsid w:val="00BF7AA1"/>
    <w:rsid w:val="00BF7E14"/>
    <w:rsid w:val="00BF7F85"/>
    <w:rsid w:val="00C000E7"/>
    <w:rsid w:val="00C0037E"/>
    <w:rsid w:val="00C0039F"/>
    <w:rsid w:val="00C003F7"/>
    <w:rsid w:val="00C0040B"/>
    <w:rsid w:val="00C00447"/>
    <w:rsid w:val="00C00522"/>
    <w:rsid w:val="00C006CD"/>
    <w:rsid w:val="00C008D6"/>
    <w:rsid w:val="00C00C0F"/>
    <w:rsid w:val="00C00EB5"/>
    <w:rsid w:val="00C025B9"/>
    <w:rsid w:val="00C0261B"/>
    <w:rsid w:val="00C02956"/>
    <w:rsid w:val="00C02A1D"/>
    <w:rsid w:val="00C02FCF"/>
    <w:rsid w:val="00C03764"/>
    <w:rsid w:val="00C03DC1"/>
    <w:rsid w:val="00C0427F"/>
    <w:rsid w:val="00C04305"/>
    <w:rsid w:val="00C04470"/>
    <w:rsid w:val="00C046D6"/>
    <w:rsid w:val="00C047F9"/>
    <w:rsid w:val="00C04932"/>
    <w:rsid w:val="00C049F0"/>
    <w:rsid w:val="00C04E40"/>
    <w:rsid w:val="00C04F12"/>
    <w:rsid w:val="00C04F7D"/>
    <w:rsid w:val="00C05361"/>
    <w:rsid w:val="00C05559"/>
    <w:rsid w:val="00C057D2"/>
    <w:rsid w:val="00C05B62"/>
    <w:rsid w:val="00C05CDF"/>
    <w:rsid w:val="00C063F1"/>
    <w:rsid w:val="00C06615"/>
    <w:rsid w:val="00C068E2"/>
    <w:rsid w:val="00C06A87"/>
    <w:rsid w:val="00C06C51"/>
    <w:rsid w:val="00C06C96"/>
    <w:rsid w:val="00C06D45"/>
    <w:rsid w:val="00C07350"/>
    <w:rsid w:val="00C07992"/>
    <w:rsid w:val="00C079CA"/>
    <w:rsid w:val="00C07AF9"/>
    <w:rsid w:val="00C07E0A"/>
    <w:rsid w:val="00C07F8A"/>
    <w:rsid w:val="00C1003F"/>
    <w:rsid w:val="00C10594"/>
    <w:rsid w:val="00C105A7"/>
    <w:rsid w:val="00C10773"/>
    <w:rsid w:val="00C10B76"/>
    <w:rsid w:val="00C10FE5"/>
    <w:rsid w:val="00C11433"/>
    <w:rsid w:val="00C1149C"/>
    <w:rsid w:val="00C117A6"/>
    <w:rsid w:val="00C11BDD"/>
    <w:rsid w:val="00C1224F"/>
    <w:rsid w:val="00C1252F"/>
    <w:rsid w:val="00C127D3"/>
    <w:rsid w:val="00C12813"/>
    <w:rsid w:val="00C12894"/>
    <w:rsid w:val="00C12A69"/>
    <w:rsid w:val="00C12ED2"/>
    <w:rsid w:val="00C12FE1"/>
    <w:rsid w:val="00C1333D"/>
    <w:rsid w:val="00C134DE"/>
    <w:rsid w:val="00C13567"/>
    <w:rsid w:val="00C13631"/>
    <w:rsid w:val="00C137CB"/>
    <w:rsid w:val="00C13998"/>
    <w:rsid w:val="00C145F6"/>
    <w:rsid w:val="00C1467B"/>
    <w:rsid w:val="00C14908"/>
    <w:rsid w:val="00C14B56"/>
    <w:rsid w:val="00C14FE7"/>
    <w:rsid w:val="00C15590"/>
    <w:rsid w:val="00C15C2F"/>
    <w:rsid w:val="00C15F03"/>
    <w:rsid w:val="00C16195"/>
    <w:rsid w:val="00C16330"/>
    <w:rsid w:val="00C1639F"/>
    <w:rsid w:val="00C164A8"/>
    <w:rsid w:val="00C1672C"/>
    <w:rsid w:val="00C16B87"/>
    <w:rsid w:val="00C16B88"/>
    <w:rsid w:val="00C170AD"/>
    <w:rsid w:val="00C171E0"/>
    <w:rsid w:val="00C171FE"/>
    <w:rsid w:val="00C178FA"/>
    <w:rsid w:val="00C17D47"/>
    <w:rsid w:val="00C17ED3"/>
    <w:rsid w:val="00C17F1B"/>
    <w:rsid w:val="00C17F27"/>
    <w:rsid w:val="00C2005A"/>
    <w:rsid w:val="00C200E6"/>
    <w:rsid w:val="00C2026B"/>
    <w:rsid w:val="00C20452"/>
    <w:rsid w:val="00C20602"/>
    <w:rsid w:val="00C20652"/>
    <w:rsid w:val="00C20DB2"/>
    <w:rsid w:val="00C20FC6"/>
    <w:rsid w:val="00C21410"/>
    <w:rsid w:val="00C21A04"/>
    <w:rsid w:val="00C21C4B"/>
    <w:rsid w:val="00C22674"/>
    <w:rsid w:val="00C22692"/>
    <w:rsid w:val="00C226DD"/>
    <w:rsid w:val="00C22C0E"/>
    <w:rsid w:val="00C22CB0"/>
    <w:rsid w:val="00C22E62"/>
    <w:rsid w:val="00C22F04"/>
    <w:rsid w:val="00C2320C"/>
    <w:rsid w:val="00C2322F"/>
    <w:rsid w:val="00C2327E"/>
    <w:rsid w:val="00C235BC"/>
    <w:rsid w:val="00C23677"/>
    <w:rsid w:val="00C23875"/>
    <w:rsid w:val="00C23A83"/>
    <w:rsid w:val="00C23CBB"/>
    <w:rsid w:val="00C23E90"/>
    <w:rsid w:val="00C24193"/>
    <w:rsid w:val="00C242F2"/>
    <w:rsid w:val="00C24B4F"/>
    <w:rsid w:val="00C2590F"/>
    <w:rsid w:val="00C2615E"/>
    <w:rsid w:val="00C26277"/>
    <w:rsid w:val="00C2642A"/>
    <w:rsid w:val="00C266C2"/>
    <w:rsid w:val="00C269F3"/>
    <w:rsid w:val="00C26C69"/>
    <w:rsid w:val="00C26ED1"/>
    <w:rsid w:val="00C2700C"/>
    <w:rsid w:val="00C273E9"/>
    <w:rsid w:val="00C27609"/>
    <w:rsid w:val="00C2786B"/>
    <w:rsid w:val="00C278ED"/>
    <w:rsid w:val="00C27CC6"/>
    <w:rsid w:val="00C27D00"/>
    <w:rsid w:val="00C27F09"/>
    <w:rsid w:val="00C30723"/>
    <w:rsid w:val="00C30D25"/>
    <w:rsid w:val="00C30EF5"/>
    <w:rsid w:val="00C311E2"/>
    <w:rsid w:val="00C314FC"/>
    <w:rsid w:val="00C317E5"/>
    <w:rsid w:val="00C31856"/>
    <w:rsid w:val="00C31DC2"/>
    <w:rsid w:val="00C31F93"/>
    <w:rsid w:val="00C32264"/>
    <w:rsid w:val="00C3233F"/>
    <w:rsid w:val="00C32437"/>
    <w:rsid w:val="00C3258C"/>
    <w:rsid w:val="00C326AA"/>
    <w:rsid w:val="00C32884"/>
    <w:rsid w:val="00C331A8"/>
    <w:rsid w:val="00C3348F"/>
    <w:rsid w:val="00C3399F"/>
    <w:rsid w:val="00C34B11"/>
    <w:rsid w:val="00C34BF2"/>
    <w:rsid w:val="00C34E6F"/>
    <w:rsid w:val="00C34EA2"/>
    <w:rsid w:val="00C35B31"/>
    <w:rsid w:val="00C35BDF"/>
    <w:rsid w:val="00C35C05"/>
    <w:rsid w:val="00C36250"/>
    <w:rsid w:val="00C364C1"/>
    <w:rsid w:val="00C3691B"/>
    <w:rsid w:val="00C36986"/>
    <w:rsid w:val="00C36AFB"/>
    <w:rsid w:val="00C36D5F"/>
    <w:rsid w:val="00C37153"/>
    <w:rsid w:val="00C37718"/>
    <w:rsid w:val="00C40204"/>
    <w:rsid w:val="00C40308"/>
    <w:rsid w:val="00C4048A"/>
    <w:rsid w:val="00C40883"/>
    <w:rsid w:val="00C40A85"/>
    <w:rsid w:val="00C40AE3"/>
    <w:rsid w:val="00C40CE2"/>
    <w:rsid w:val="00C40D85"/>
    <w:rsid w:val="00C40F83"/>
    <w:rsid w:val="00C41364"/>
    <w:rsid w:val="00C41452"/>
    <w:rsid w:val="00C4174A"/>
    <w:rsid w:val="00C417E2"/>
    <w:rsid w:val="00C41890"/>
    <w:rsid w:val="00C41A60"/>
    <w:rsid w:val="00C41B63"/>
    <w:rsid w:val="00C41D59"/>
    <w:rsid w:val="00C41EAF"/>
    <w:rsid w:val="00C41F8C"/>
    <w:rsid w:val="00C42099"/>
    <w:rsid w:val="00C422B5"/>
    <w:rsid w:val="00C425E1"/>
    <w:rsid w:val="00C4265A"/>
    <w:rsid w:val="00C42811"/>
    <w:rsid w:val="00C42B11"/>
    <w:rsid w:val="00C432F9"/>
    <w:rsid w:val="00C437D4"/>
    <w:rsid w:val="00C43861"/>
    <w:rsid w:val="00C43A6F"/>
    <w:rsid w:val="00C43DA3"/>
    <w:rsid w:val="00C43DFB"/>
    <w:rsid w:val="00C44136"/>
    <w:rsid w:val="00C44292"/>
    <w:rsid w:val="00C445A2"/>
    <w:rsid w:val="00C44601"/>
    <w:rsid w:val="00C44882"/>
    <w:rsid w:val="00C44A0C"/>
    <w:rsid w:val="00C44C62"/>
    <w:rsid w:val="00C4507D"/>
    <w:rsid w:val="00C450B6"/>
    <w:rsid w:val="00C450E1"/>
    <w:rsid w:val="00C4540E"/>
    <w:rsid w:val="00C456D7"/>
    <w:rsid w:val="00C45814"/>
    <w:rsid w:val="00C45B67"/>
    <w:rsid w:val="00C45B69"/>
    <w:rsid w:val="00C45CCA"/>
    <w:rsid w:val="00C46ABA"/>
    <w:rsid w:val="00C46B2A"/>
    <w:rsid w:val="00C46E8E"/>
    <w:rsid w:val="00C47087"/>
    <w:rsid w:val="00C47520"/>
    <w:rsid w:val="00C47C8D"/>
    <w:rsid w:val="00C47E67"/>
    <w:rsid w:val="00C50827"/>
    <w:rsid w:val="00C50CAB"/>
    <w:rsid w:val="00C5120A"/>
    <w:rsid w:val="00C514C7"/>
    <w:rsid w:val="00C51623"/>
    <w:rsid w:val="00C51656"/>
    <w:rsid w:val="00C51746"/>
    <w:rsid w:val="00C517A1"/>
    <w:rsid w:val="00C51C3F"/>
    <w:rsid w:val="00C522BE"/>
    <w:rsid w:val="00C522F7"/>
    <w:rsid w:val="00C526A7"/>
    <w:rsid w:val="00C528CF"/>
    <w:rsid w:val="00C52964"/>
    <w:rsid w:val="00C52A3B"/>
    <w:rsid w:val="00C52B03"/>
    <w:rsid w:val="00C52BD8"/>
    <w:rsid w:val="00C52D8D"/>
    <w:rsid w:val="00C52F32"/>
    <w:rsid w:val="00C53510"/>
    <w:rsid w:val="00C53513"/>
    <w:rsid w:val="00C53910"/>
    <w:rsid w:val="00C53AF5"/>
    <w:rsid w:val="00C53B07"/>
    <w:rsid w:val="00C53FCA"/>
    <w:rsid w:val="00C55335"/>
    <w:rsid w:val="00C55660"/>
    <w:rsid w:val="00C556B9"/>
    <w:rsid w:val="00C557E8"/>
    <w:rsid w:val="00C55983"/>
    <w:rsid w:val="00C56127"/>
    <w:rsid w:val="00C56448"/>
    <w:rsid w:val="00C565D4"/>
    <w:rsid w:val="00C568A2"/>
    <w:rsid w:val="00C56B9F"/>
    <w:rsid w:val="00C56D72"/>
    <w:rsid w:val="00C56F54"/>
    <w:rsid w:val="00C57417"/>
    <w:rsid w:val="00C57E7B"/>
    <w:rsid w:val="00C600C7"/>
    <w:rsid w:val="00C6065B"/>
    <w:rsid w:val="00C60CA7"/>
    <w:rsid w:val="00C60E66"/>
    <w:rsid w:val="00C614BB"/>
    <w:rsid w:val="00C61B7A"/>
    <w:rsid w:val="00C61C5E"/>
    <w:rsid w:val="00C61D82"/>
    <w:rsid w:val="00C61D9F"/>
    <w:rsid w:val="00C61E64"/>
    <w:rsid w:val="00C61F47"/>
    <w:rsid w:val="00C62349"/>
    <w:rsid w:val="00C62E54"/>
    <w:rsid w:val="00C635B5"/>
    <w:rsid w:val="00C63B7A"/>
    <w:rsid w:val="00C63D49"/>
    <w:rsid w:val="00C63FB8"/>
    <w:rsid w:val="00C642A2"/>
    <w:rsid w:val="00C649C5"/>
    <w:rsid w:val="00C64A9E"/>
    <w:rsid w:val="00C64AD0"/>
    <w:rsid w:val="00C6579D"/>
    <w:rsid w:val="00C65BEE"/>
    <w:rsid w:val="00C66312"/>
    <w:rsid w:val="00C66C3D"/>
    <w:rsid w:val="00C67043"/>
    <w:rsid w:val="00C672DD"/>
    <w:rsid w:val="00C67821"/>
    <w:rsid w:val="00C67954"/>
    <w:rsid w:val="00C67F1F"/>
    <w:rsid w:val="00C70702"/>
    <w:rsid w:val="00C70901"/>
    <w:rsid w:val="00C7095A"/>
    <w:rsid w:val="00C70B2A"/>
    <w:rsid w:val="00C70B3F"/>
    <w:rsid w:val="00C70CD5"/>
    <w:rsid w:val="00C70DBD"/>
    <w:rsid w:val="00C710F2"/>
    <w:rsid w:val="00C71144"/>
    <w:rsid w:val="00C711CD"/>
    <w:rsid w:val="00C71492"/>
    <w:rsid w:val="00C714FD"/>
    <w:rsid w:val="00C71BDC"/>
    <w:rsid w:val="00C71C70"/>
    <w:rsid w:val="00C71CDF"/>
    <w:rsid w:val="00C72029"/>
    <w:rsid w:val="00C7208F"/>
    <w:rsid w:val="00C7215E"/>
    <w:rsid w:val="00C72195"/>
    <w:rsid w:val="00C7253E"/>
    <w:rsid w:val="00C72735"/>
    <w:rsid w:val="00C727CD"/>
    <w:rsid w:val="00C72A6F"/>
    <w:rsid w:val="00C73161"/>
    <w:rsid w:val="00C73C46"/>
    <w:rsid w:val="00C740F8"/>
    <w:rsid w:val="00C740F9"/>
    <w:rsid w:val="00C74345"/>
    <w:rsid w:val="00C74496"/>
    <w:rsid w:val="00C75194"/>
    <w:rsid w:val="00C7521C"/>
    <w:rsid w:val="00C759E7"/>
    <w:rsid w:val="00C75CE0"/>
    <w:rsid w:val="00C76316"/>
    <w:rsid w:val="00C764D4"/>
    <w:rsid w:val="00C76544"/>
    <w:rsid w:val="00C76913"/>
    <w:rsid w:val="00C770BD"/>
    <w:rsid w:val="00C77157"/>
    <w:rsid w:val="00C77608"/>
    <w:rsid w:val="00C77B96"/>
    <w:rsid w:val="00C805E1"/>
    <w:rsid w:val="00C807E3"/>
    <w:rsid w:val="00C80996"/>
    <w:rsid w:val="00C80C82"/>
    <w:rsid w:val="00C81697"/>
    <w:rsid w:val="00C816B8"/>
    <w:rsid w:val="00C8195A"/>
    <w:rsid w:val="00C81B94"/>
    <w:rsid w:val="00C81CED"/>
    <w:rsid w:val="00C81E1A"/>
    <w:rsid w:val="00C81EF6"/>
    <w:rsid w:val="00C823D0"/>
    <w:rsid w:val="00C82999"/>
    <w:rsid w:val="00C82AC2"/>
    <w:rsid w:val="00C82D11"/>
    <w:rsid w:val="00C83496"/>
    <w:rsid w:val="00C83615"/>
    <w:rsid w:val="00C8376F"/>
    <w:rsid w:val="00C83798"/>
    <w:rsid w:val="00C83CD9"/>
    <w:rsid w:val="00C83DE8"/>
    <w:rsid w:val="00C83F4A"/>
    <w:rsid w:val="00C84101"/>
    <w:rsid w:val="00C845EB"/>
    <w:rsid w:val="00C84787"/>
    <w:rsid w:val="00C8489B"/>
    <w:rsid w:val="00C84B4E"/>
    <w:rsid w:val="00C84E5B"/>
    <w:rsid w:val="00C84EAC"/>
    <w:rsid w:val="00C84FA0"/>
    <w:rsid w:val="00C85513"/>
    <w:rsid w:val="00C859DB"/>
    <w:rsid w:val="00C85FF6"/>
    <w:rsid w:val="00C860FD"/>
    <w:rsid w:val="00C86439"/>
    <w:rsid w:val="00C8677B"/>
    <w:rsid w:val="00C8692A"/>
    <w:rsid w:val="00C86E3A"/>
    <w:rsid w:val="00C87082"/>
    <w:rsid w:val="00C8749D"/>
    <w:rsid w:val="00C87948"/>
    <w:rsid w:val="00C87E3A"/>
    <w:rsid w:val="00C901A2"/>
    <w:rsid w:val="00C90215"/>
    <w:rsid w:val="00C906CA"/>
    <w:rsid w:val="00C9082A"/>
    <w:rsid w:val="00C90E74"/>
    <w:rsid w:val="00C9144B"/>
    <w:rsid w:val="00C91C0C"/>
    <w:rsid w:val="00C91E94"/>
    <w:rsid w:val="00C9233D"/>
    <w:rsid w:val="00C92D32"/>
    <w:rsid w:val="00C933A7"/>
    <w:rsid w:val="00C934E2"/>
    <w:rsid w:val="00C93661"/>
    <w:rsid w:val="00C93826"/>
    <w:rsid w:val="00C9393B"/>
    <w:rsid w:val="00C94207"/>
    <w:rsid w:val="00C943B2"/>
    <w:rsid w:val="00C9441C"/>
    <w:rsid w:val="00C94D03"/>
    <w:rsid w:val="00C94FC1"/>
    <w:rsid w:val="00C94FCB"/>
    <w:rsid w:val="00C952BD"/>
    <w:rsid w:val="00C95525"/>
    <w:rsid w:val="00C95615"/>
    <w:rsid w:val="00C9580B"/>
    <w:rsid w:val="00C95A83"/>
    <w:rsid w:val="00C95BD8"/>
    <w:rsid w:val="00C964F3"/>
    <w:rsid w:val="00C96972"/>
    <w:rsid w:val="00C96A3E"/>
    <w:rsid w:val="00C97770"/>
    <w:rsid w:val="00C978D4"/>
    <w:rsid w:val="00C97A65"/>
    <w:rsid w:val="00C97C0E"/>
    <w:rsid w:val="00C97E54"/>
    <w:rsid w:val="00C97EE5"/>
    <w:rsid w:val="00CA0167"/>
    <w:rsid w:val="00CA024D"/>
    <w:rsid w:val="00CA0544"/>
    <w:rsid w:val="00CA0700"/>
    <w:rsid w:val="00CA0BBF"/>
    <w:rsid w:val="00CA0F20"/>
    <w:rsid w:val="00CA12EA"/>
    <w:rsid w:val="00CA1FAD"/>
    <w:rsid w:val="00CA2705"/>
    <w:rsid w:val="00CA272E"/>
    <w:rsid w:val="00CA29F4"/>
    <w:rsid w:val="00CA2AD4"/>
    <w:rsid w:val="00CA324B"/>
    <w:rsid w:val="00CA3375"/>
    <w:rsid w:val="00CA36CB"/>
    <w:rsid w:val="00CA3735"/>
    <w:rsid w:val="00CA4651"/>
    <w:rsid w:val="00CA47E0"/>
    <w:rsid w:val="00CA485F"/>
    <w:rsid w:val="00CA48F5"/>
    <w:rsid w:val="00CA4A2E"/>
    <w:rsid w:val="00CA4BE1"/>
    <w:rsid w:val="00CA517D"/>
    <w:rsid w:val="00CA51DC"/>
    <w:rsid w:val="00CA545D"/>
    <w:rsid w:val="00CA587E"/>
    <w:rsid w:val="00CA5A80"/>
    <w:rsid w:val="00CA65B1"/>
    <w:rsid w:val="00CA6818"/>
    <w:rsid w:val="00CA6A5B"/>
    <w:rsid w:val="00CA6F18"/>
    <w:rsid w:val="00CA745C"/>
    <w:rsid w:val="00CA750D"/>
    <w:rsid w:val="00CA7674"/>
    <w:rsid w:val="00CA772F"/>
    <w:rsid w:val="00CA7788"/>
    <w:rsid w:val="00CA7ADC"/>
    <w:rsid w:val="00CB04BB"/>
    <w:rsid w:val="00CB0807"/>
    <w:rsid w:val="00CB10E7"/>
    <w:rsid w:val="00CB12B7"/>
    <w:rsid w:val="00CB139C"/>
    <w:rsid w:val="00CB149F"/>
    <w:rsid w:val="00CB15AF"/>
    <w:rsid w:val="00CB15D6"/>
    <w:rsid w:val="00CB1637"/>
    <w:rsid w:val="00CB168A"/>
    <w:rsid w:val="00CB1742"/>
    <w:rsid w:val="00CB17CB"/>
    <w:rsid w:val="00CB1995"/>
    <w:rsid w:val="00CB19B7"/>
    <w:rsid w:val="00CB1DBD"/>
    <w:rsid w:val="00CB2091"/>
    <w:rsid w:val="00CB2EB8"/>
    <w:rsid w:val="00CB2FC0"/>
    <w:rsid w:val="00CB3015"/>
    <w:rsid w:val="00CB33DD"/>
    <w:rsid w:val="00CB3485"/>
    <w:rsid w:val="00CB4094"/>
    <w:rsid w:val="00CB47F9"/>
    <w:rsid w:val="00CB48EA"/>
    <w:rsid w:val="00CB4B91"/>
    <w:rsid w:val="00CB51C5"/>
    <w:rsid w:val="00CB5494"/>
    <w:rsid w:val="00CB5681"/>
    <w:rsid w:val="00CB5BCA"/>
    <w:rsid w:val="00CB616D"/>
    <w:rsid w:val="00CB6191"/>
    <w:rsid w:val="00CB6252"/>
    <w:rsid w:val="00CB6341"/>
    <w:rsid w:val="00CB6877"/>
    <w:rsid w:val="00CB6937"/>
    <w:rsid w:val="00CB6E23"/>
    <w:rsid w:val="00CB6E80"/>
    <w:rsid w:val="00CB7284"/>
    <w:rsid w:val="00CB764A"/>
    <w:rsid w:val="00CB791C"/>
    <w:rsid w:val="00CB7ACB"/>
    <w:rsid w:val="00CB7EA3"/>
    <w:rsid w:val="00CB7F83"/>
    <w:rsid w:val="00CC0316"/>
    <w:rsid w:val="00CC099B"/>
    <w:rsid w:val="00CC09A7"/>
    <w:rsid w:val="00CC0A5F"/>
    <w:rsid w:val="00CC0C07"/>
    <w:rsid w:val="00CC0CDE"/>
    <w:rsid w:val="00CC0D4D"/>
    <w:rsid w:val="00CC101D"/>
    <w:rsid w:val="00CC12E4"/>
    <w:rsid w:val="00CC1520"/>
    <w:rsid w:val="00CC1A3F"/>
    <w:rsid w:val="00CC2058"/>
    <w:rsid w:val="00CC244D"/>
    <w:rsid w:val="00CC25B4"/>
    <w:rsid w:val="00CC2862"/>
    <w:rsid w:val="00CC293A"/>
    <w:rsid w:val="00CC2D21"/>
    <w:rsid w:val="00CC2D70"/>
    <w:rsid w:val="00CC30AF"/>
    <w:rsid w:val="00CC30EB"/>
    <w:rsid w:val="00CC31CE"/>
    <w:rsid w:val="00CC32A8"/>
    <w:rsid w:val="00CC3575"/>
    <w:rsid w:val="00CC3D0F"/>
    <w:rsid w:val="00CC4153"/>
    <w:rsid w:val="00CC42E1"/>
    <w:rsid w:val="00CC46F7"/>
    <w:rsid w:val="00CC495F"/>
    <w:rsid w:val="00CC4B07"/>
    <w:rsid w:val="00CC4B35"/>
    <w:rsid w:val="00CC511D"/>
    <w:rsid w:val="00CC53A2"/>
    <w:rsid w:val="00CC58F6"/>
    <w:rsid w:val="00CC599A"/>
    <w:rsid w:val="00CC5E60"/>
    <w:rsid w:val="00CC655F"/>
    <w:rsid w:val="00CC689A"/>
    <w:rsid w:val="00CC6EA9"/>
    <w:rsid w:val="00CC71CB"/>
    <w:rsid w:val="00CC74E6"/>
    <w:rsid w:val="00CC74FA"/>
    <w:rsid w:val="00CC77CA"/>
    <w:rsid w:val="00CC77FF"/>
    <w:rsid w:val="00CC7811"/>
    <w:rsid w:val="00CC7815"/>
    <w:rsid w:val="00CC7D3B"/>
    <w:rsid w:val="00CD0003"/>
    <w:rsid w:val="00CD0463"/>
    <w:rsid w:val="00CD04D1"/>
    <w:rsid w:val="00CD05C3"/>
    <w:rsid w:val="00CD0C85"/>
    <w:rsid w:val="00CD0EC0"/>
    <w:rsid w:val="00CD0FB7"/>
    <w:rsid w:val="00CD14A6"/>
    <w:rsid w:val="00CD1569"/>
    <w:rsid w:val="00CD167E"/>
    <w:rsid w:val="00CD1800"/>
    <w:rsid w:val="00CD191E"/>
    <w:rsid w:val="00CD1A81"/>
    <w:rsid w:val="00CD1C51"/>
    <w:rsid w:val="00CD1F47"/>
    <w:rsid w:val="00CD201A"/>
    <w:rsid w:val="00CD20A2"/>
    <w:rsid w:val="00CD2A17"/>
    <w:rsid w:val="00CD2A6E"/>
    <w:rsid w:val="00CD2C47"/>
    <w:rsid w:val="00CD2DFB"/>
    <w:rsid w:val="00CD2E1F"/>
    <w:rsid w:val="00CD2FE8"/>
    <w:rsid w:val="00CD3379"/>
    <w:rsid w:val="00CD33CC"/>
    <w:rsid w:val="00CD3A86"/>
    <w:rsid w:val="00CD3CDE"/>
    <w:rsid w:val="00CD3D44"/>
    <w:rsid w:val="00CD3E05"/>
    <w:rsid w:val="00CD4883"/>
    <w:rsid w:val="00CD4D12"/>
    <w:rsid w:val="00CD563B"/>
    <w:rsid w:val="00CD5EE8"/>
    <w:rsid w:val="00CD5F11"/>
    <w:rsid w:val="00CD62A9"/>
    <w:rsid w:val="00CD6399"/>
    <w:rsid w:val="00CD6C66"/>
    <w:rsid w:val="00CD6EB6"/>
    <w:rsid w:val="00CD6F0F"/>
    <w:rsid w:val="00CD706F"/>
    <w:rsid w:val="00CD727B"/>
    <w:rsid w:val="00CD744D"/>
    <w:rsid w:val="00CD74BE"/>
    <w:rsid w:val="00CD75AD"/>
    <w:rsid w:val="00CD7920"/>
    <w:rsid w:val="00CE02B2"/>
    <w:rsid w:val="00CE0A52"/>
    <w:rsid w:val="00CE0B09"/>
    <w:rsid w:val="00CE0B3B"/>
    <w:rsid w:val="00CE0D2C"/>
    <w:rsid w:val="00CE0F8D"/>
    <w:rsid w:val="00CE1101"/>
    <w:rsid w:val="00CE192B"/>
    <w:rsid w:val="00CE20B0"/>
    <w:rsid w:val="00CE233E"/>
    <w:rsid w:val="00CE23B7"/>
    <w:rsid w:val="00CE249A"/>
    <w:rsid w:val="00CE24CF"/>
    <w:rsid w:val="00CE27CE"/>
    <w:rsid w:val="00CE29C3"/>
    <w:rsid w:val="00CE2C69"/>
    <w:rsid w:val="00CE2FF9"/>
    <w:rsid w:val="00CE360F"/>
    <w:rsid w:val="00CE36C9"/>
    <w:rsid w:val="00CE383F"/>
    <w:rsid w:val="00CE3B14"/>
    <w:rsid w:val="00CE3DD7"/>
    <w:rsid w:val="00CE43B1"/>
    <w:rsid w:val="00CE4566"/>
    <w:rsid w:val="00CE45B1"/>
    <w:rsid w:val="00CE4BE7"/>
    <w:rsid w:val="00CE4BEE"/>
    <w:rsid w:val="00CE506C"/>
    <w:rsid w:val="00CE55A9"/>
    <w:rsid w:val="00CE58FF"/>
    <w:rsid w:val="00CE5E68"/>
    <w:rsid w:val="00CE5E99"/>
    <w:rsid w:val="00CE61C7"/>
    <w:rsid w:val="00CE6508"/>
    <w:rsid w:val="00CE65E5"/>
    <w:rsid w:val="00CE6806"/>
    <w:rsid w:val="00CE68D3"/>
    <w:rsid w:val="00CE6970"/>
    <w:rsid w:val="00CE6C5D"/>
    <w:rsid w:val="00CE6E24"/>
    <w:rsid w:val="00CE71AD"/>
    <w:rsid w:val="00CE7387"/>
    <w:rsid w:val="00CE75DD"/>
    <w:rsid w:val="00CE76DB"/>
    <w:rsid w:val="00CE7B93"/>
    <w:rsid w:val="00CF0014"/>
    <w:rsid w:val="00CF0365"/>
    <w:rsid w:val="00CF04DC"/>
    <w:rsid w:val="00CF05DA"/>
    <w:rsid w:val="00CF0B85"/>
    <w:rsid w:val="00CF0BFB"/>
    <w:rsid w:val="00CF0C54"/>
    <w:rsid w:val="00CF0D69"/>
    <w:rsid w:val="00CF0E4C"/>
    <w:rsid w:val="00CF0FCC"/>
    <w:rsid w:val="00CF126F"/>
    <w:rsid w:val="00CF12EC"/>
    <w:rsid w:val="00CF17D0"/>
    <w:rsid w:val="00CF1BAB"/>
    <w:rsid w:val="00CF1BE7"/>
    <w:rsid w:val="00CF2257"/>
    <w:rsid w:val="00CF23BB"/>
    <w:rsid w:val="00CF2720"/>
    <w:rsid w:val="00CF2EDF"/>
    <w:rsid w:val="00CF3148"/>
    <w:rsid w:val="00CF34FD"/>
    <w:rsid w:val="00CF35F1"/>
    <w:rsid w:val="00CF3ABF"/>
    <w:rsid w:val="00CF3F04"/>
    <w:rsid w:val="00CF4055"/>
    <w:rsid w:val="00CF4431"/>
    <w:rsid w:val="00CF45A6"/>
    <w:rsid w:val="00CF4899"/>
    <w:rsid w:val="00CF4C12"/>
    <w:rsid w:val="00CF4CE8"/>
    <w:rsid w:val="00CF5293"/>
    <w:rsid w:val="00CF5471"/>
    <w:rsid w:val="00CF575E"/>
    <w:rsid w:val="00CF595C"/>
    <w:rsid w:val="00CF5C7F"/>
    <w:rsid w:val="00CF5EFB"/>
    <w:rsid w:val="00CF60EF"/>
    <w:rsid w:val="00CF6592"/>
    <w:rsid w:val="00CF698F"/>
    <w:rsid w:val="00CF6A56"/>
    <w:rsid w:val="00CF6ABB"/>
    <w:rsid w:val="00CF6BD8"/>
    <w:rsid w:val="00CF6C1C"/>
    <w:rsid w:val="00CF70FA"/>
    <w:rsid w:val="00CF75FD"/>
    <w:rsid w:val="00CF762A"/>
    <w:rsid w:val="00CF7671"/>
    <w:rsid w:val="00CF7755"/>
    <w:rsid w:val="00CF78D1"/>
    <w:rsid w:val="00CF7A8E"/>
    <w:rsid w:val="00CF7AB9"/>
    <w:rsid w:val="00CF7B9E"/>
    <w:rsid w:val="00CF7CB4"/>
    <w:rsid w:val="00D00141"/>
    <w:rsid w:val="00D00255"/>
    <w:rsid w:val="00D0029B"/>
    <w:rsid w:val="00D002B3"/>
    <w:rsid w:val="00D003D0"/>
    <w:rsid w:val="00D00AD7"/>
    <w:rsid w:val="00D0169B"/>
    <w:rsid w:val="00D01C0A"/>
    <w:rsid w:val="00D01D66"/>
    <w:rsid w:val="00D01E71"/>
    <w:rsid w:val="00D0264B"/>
    <w:rsid w:val="00D027BA"/>
    <w:rsid w:val="00D02B81"/>
    <w:rsid w:val="00D02FD6"/>
    <w:rsid w:val="00D0379C"/>
    <w:rsid w:val="00D039BD"/>
    <w:rsid w:val="00D03F80"/>
    <w:rsid w:val="00D044D5"/>
    <w:rsid w:val="00D046DB"/>
    <w:rsid w:val="00D049FC"/>
    <w:rsid w:val="00D04A92"/>
    <w:rsid w:val="00D04B00"/>
    <w:rsid w:val="00D04BA7"/>
    <w:rsid w:val="00D04BED"/>
    <w:rsid w:val="00D0509F"/>
    <w:rsid w:val="00D05122"/>
    <w:rsid w:val="00D054E3"/>
    <w:rsid w:val="00D05D25"/>
    <w:rsid w:val="00D06853"/>
    <w:rsid w:val="00D06B78"/>
    <w:rsid w:val="00D07B4B"/>
    <w:rsid w:val="00D10440"/>
    <w:rsid w:val="00D10586"/>
    <w:rsid w:val="00D10C1F"/>
    <w:rsid w:val="00D111FA"/>
    <w:rsid w:val="00D11261"/>
    <w:rsid w:val="00D11C40"/>
    <w:rsid w:val="00D11D7D"/>
    <w:rsid w:val="00D11FD3"/>
    <w:rsid w:val="00D12025"/>
    <w:rsid w:val="00D120CA"/>
    <w:rsid w:val="00D1229B"/>
    <w:rsid w:val="00D1248B"/>
    <w:rsid w:val="00D12D82"/>
    <w:rsid w:val="00D12F2E"/>
    <w:rsid w:val="00D12FFF"/>
    <w:rsid w:val="00D131FA"/>
    <w:rsid w:val="00D13312"/>
    <w:rsid w:val="00D138DF"/>
    <w:rsid w:val="00D1393B"/>
    <w:rsid w:val="00D13A38"/>
    <w:rsid w:val="00D13AF1"/>
    <w:rsid w:val="00D13C82"/>
    <w:rsid w:val="00D1434C"/>
    <w:rsid w:val="00D144C2"/>
    <w:rsid w:val="00D14607"/>
    <w:rsid w:val="00D1468E"/>
    <w:rsid w:val="00D150BF"/>
    <w:rsid w:val="00D150EB"/>
    <w:rsid w:val="00D15371"/>
    <w:rsid w:val="00D15406"/>
    <w:rsid w:val="00D15875"/>
    <w:rsid w:val="00D15C1B"/>
    <w:rsid w:val="00D15F35"/>
    <w:rsid w:val="00D160D8"/>
    <w:rsid w:val="00D168BA"/>
    <w:rsid w:val="00D16941"/>
    <w:rsid w:val="00D169F2"/>
    <w:rsid w:val="00D16B82"/>
    <w:rsid w:val="00D170D0"/>
    <w:rsid w:val="00D1737E"/>
    <w:rsid w:val="00D17528"/>
    <w:rsid w:val="00D176F1"/>
    <w:rsid w:val="00D17872"/>
    <w:rsid w:val="00D17E19"/>
    <w:rsid w:val="00D17F09"/>
    <w:rsid w:val="00D204B5"/>
    <w:rsid w:val="00D20A64"/>
    <w:rsid w:val="00D20A6B"/>
    <w:rsid w:val="00D20F07"/>
    <w:rsid w:val="00D2127D"/>
    <w:rsid w:val="00D2129E"/>
    <w:rsid w:val="00D212EA"/>
    <w:rsid w:val="00D212F2"/>
    <w:rsid w:val="00D21785"/>
    <w:rsid w:val="00D219B9"/>
    <w:rsid w:val="00D21A4D"/>
    <w:rsid w:val="00D21B17"/>
    <w:rsid w:val="00D21CC4"/>
    <w:rsid w:val="00D21F06"/>
    <w:rsid w:val="00D21F67"/>
    <w:rsid w:val="00D2247F"/>
    <w:rsid w:val="00D227C1"/>
    <w:rsid w:val="00D22D67"/>
    <w:rsid w:val="00D23260"/>
    <w:rsid w:val="00D2333F"/>
    <w:rsid w:val="00D2342F"/>
    <w:rsid w:val="00D23815"/>
    <w:rsid w:val="00D2386E"/>
    <w:rsid w:val="00D23C5F"/>
    <w:rsid w:val="00D23E27"/>
    <w:rsid w:val="00D23E62"/>
    <w:rsid w:val="00D245B9"/>
    <w:rsid w:val="00D24BA7"/>
    <w:rsid w:val="00D24F7C"/>
    <w:rsid w:val="00D25448"/>
    <w:rsid w:val="00D2558D"/>
    <w:rsid w:val="00D25644"/>
    <w:rsid w:val="00D25C30"/>
    <w:rsid w:val="00D25DA8"/>
    <w:rsid w:val="00D26955"/>
    <w:rsid w:val="00D26BB3"/>
    <w:rsid w:val="00D27463"/>
    <w:rsid w:val="00D277C9"/>
    <w:rsid w:val="00D27BAA"/>
    <w:rsid w:val="00D30375"/>
    <w:rsid w:val="00D303AB"/>
    <w:rsid w:val="00D305A1"/>
    <w:rsid w:val="00D306B7"/>
    <w:rsid w:val="00D30B1C"/>
    <w:rsid w:val="00D30C8C"/>
    <w:rsid w:val="00D30F9C"/>
    <w:rsid w:val="00D31166"/>
    <w:rsid w:val="00D3132B"/>
    <w:rsid w:val="00D31433"/>
    <w:rsid w:val="00D31493"/>
    <w:rsid w:val="00D3159D"/>
    <w:rsid w:val="00D31647"/>
    <w:rsid w:val="00D31689"/>
    <w:rsid w:val="00D31744"/>
    <w:rsid w:val="00D3192D"/>
    <w:rsid w:val="00D31953"/>
    <w:rsid w:val="00D31974"/>
    <w:rsid w:val="00D31A38"/>
    <w:rsid w:val="00D31AD9"/>
    <w:rsid w:val="00D31CB3"/>
    <w:rsid w:val="00D31D00"/>
    <w:rsid w:val="00D31E9E"/>
    <w:rsid w:val="00D320E4"/>
    <w:rsid w:val="00D32869"/>
    <w:rsid w:val="00D32DE4"/>
    <w:rsid w:val="00D3348B"/>
    <w:rsid w:val="00D335AF"/>
    <w:rsid w:val="00D33A41"/>
    <w:rsid w:val="00D3426A"/>
    <w:rsid w:val="00D34465"/>
    <w:rsid w:val="00D34C8B"/>
    <w:rsid w:val="00D34EB7"/>
    <w:rsid w:val="00D350AF"/>
    <w:rsid w:val="00D352B1"/>
    <w:rsid w:val="00D355BE"/>
    <w:rsid w:val="00D35A19"/>
    <w:rsid w:val="00D35C56"/>
    <w:rsid w:val="00D3617A"/>
    <w:rsid w:val="00D361A8"/>
    <w:rsid w:val="00D36549"/>
    <w:rsid w:val="00D372D5"/>
    <w:rsid w:val="00D373E8"/>
    <w:rsid w:val="00D374C2"/>
    <w:rsid w:val="00D37520"/>
    <w:rsid w:val="00D3758E"/>
    <w:rsid w:val="00D37718"/>
    <w:rsid w:val="00D37934"/>
    <w:rsid w:val="00D37AE9"/>
    <w:rsid w:val="00D37B15"/>
    <w:rsid w:val="00D37B60"/>
    <w:rsid w:val="00D37EBA"/>
    <w:rsid w:val="00D40154"/>
    <w:rsid w:val="00D40277"/>
    <w:rsid w:val="00D40438"/>
    <w:rsid w:val="00D405CC"/>
    <w:rsid w:val="00D41496"/>
    <w:rsid w:val="00D419A6"/>
    <w:rsid w:val="00D41B0C"/>
    <w:rsid w:val="00D41B14"/>
    <w:rsid w:val="00D41CAD"/>
    <w:rsid w:val="00D42125"/>
    <w:rsid w:val="00D4233C"/>
    <w:rsid w:val="00D42343"/>
    <w:rsid w:val="00D423B8"/>
    <w:rsid w:val="00D42853"/>
    <w:rsid w:val="00D42A52"/>
    <w:rsid w:val="00D42AAF"/>
    <w:rsid w:val="00D43025"/>
    <w:rsid w:val="00D4307D"/>
    <w:rsid w:val="00D4313C"/>
    <w:rsid w:val="00D43730"/>
    <w:rsid w:val="00D43A0D"/>
    <w:rsid w:val="00D43BE9"/>
    <w:rsid w:val="00D43C05"/>
    <w:rsid w:val="00D43D37"/>
    <w:rsid w:val="00D43E75"/>
    <w:rsid w:val="00D44577"/>
    <w:rsid w:val="00D4458A"/>
    <w:rsid w:val="00D447E8"/>
    <w:rsid w:val="00D447F7"/>
    <w:rsid w:val="00D4499E"/>
    <w:rsid w:val="00D449F9"/>
    <w:rsid w:val="00D44BF5"/>
    <w:rsid w:val="00D44C58"/>
    <w:rsid w:val="00D44CEC"/>
    <w:rsid w:val="00D44E96"/>
    <w:rsid w:val="00D45072"/>
    <w:rsid w:val="00D455ED"/>
    <w:rsid w:val="00D45678"/>
    <w:rsid w:val="00D456EA"/>
    <w:rsid w:val="00D45AB7"/>
    <w:rsid w:val="00D45AFD"/>
    <w:rsid w:val="00D45D8E"/>
    <w:rsid w:val="00D4601B"/>
    <w:rsid w:val="00D46060"/>
    <w:rsid w:val="00D462B5"/>
    <w:rsid w:val="00D4658E"/>
    <w:rsid w:val="00D4691E"/>
    <w:rsid w:val="00D469E1"/>
    <w:rsid w:val="00D46B7A"/>
    <w:rsid w:val="00D46C96"/>
    <w:rsid w:val="00D46E40"/>
    <w:rsid w:val="00D46F0A"/>
    <w:rsid w:val="00D476BB"/>
    <w:rsid w:val="00D47E8C"/>
    <w:rsid w:val="00D5095B"/>
    <w:rsid w:val="00D509B2"/>
    <w:rsid w:val="00D509E9"/>
    <w:rsid w:val="00D50A84"/>
    <w:rsid w:val="00D50E18"/>
    <w:rsid w:val="00D50F9A"/>
    <w:rsid w:val="00D5111D"/>
    <w:rsid w:val="00D5147A"/>
    <w:rsid w:val="00D516A7"/>
    <w:rsid w:val="00D51D67"/>
    <w:rsid w:val="00D52A33"/>
    <w:rsid w:val="00D52D1B"/>
    <w:rsid w:val="00D53197"/>
    <w:rsid w:val="00D53340"/>
    <w:rsid w:val="00D533DA"/>
    <w:rsid w:val="00D533EA"/>
    <w:rsid w:val="00D5348C"/>
    <w:rsid w:val="00D53512"/>
    <w:rsid w:val="00D53903"/>
    <w:rsid w:val="00D53A00"/>
    <w:rsid w:val="00D53B7A"/>
    <w:rsid w:val="00D54051"/>
    <w:rsid w:val="00D54216"/>
    <w:rsid w:val="00D54286"/>
    <w:rsid w:val="00D54673"/>
    <w:rsid w:val="00D54761"/>
    <w:rsid w:val="00D548F7"/>
    <w:rsid w:val="00D54D09"/>
    <w:rsid w:val="00D54F35"/>
    <w:rsid w:val="00D550A8"/>
    <w:rsid w:val="00D55168"/>
    <w:rsid w:val="00D55288"/>
    <w:rsid w:val="00D55708"/>
    <w:rsid w:val="00D55909"/>
    <w:rsid w:val="00D55983"/>
    <w:rsid w:val="00D55D65"/>
    <w:rsid w:val="00D55E4F"/>
    <w:rsid w:val="00D563ED"/>
    <w:rsid w:val="00D56D78"/>
    <w:rsid w:val="00D56E2B"/>
    <w:rsid w:val="00D57109"/>
    <w:rsid w:val="00D57385"/>
    <w:rsid w:val="00D5751A"/>
    <w:rsid w:val="00D57679"/>
    <w:rsid w:val="00D576FB"/>
    <w:rsid w:val="00D57A42"/>
    <w:rsid w:val="00D6030A"/>
    <w:rsid w:val="00D60325"/>
    <w:rsid w:val="00D60726"/>
    <w:rsid w:val="00D6098F"/>
    <w:rsid w:val="00D60A17"/>
    <w:rsid w:val="00D60C20"/>
    <w:rsid w:val="00D61286"/>
    <w:rsid w:val="00D6148E"/>
    <w:rsid w:val="00D617B3"/>
    <w:rsid w:val="00D617BB"/>
    <w:rsid w:val="00D61923"/>
    <w:rsid w:val="00D61D85"/>
    <w:rsid w:val="00D621BB"/>
    <w:rsid w:val="00D62724"/>
    <w:rsid w:val="00D62831"/>
    <w:rsid w:val="00D62FD5"/>
    <w:rsid w:val="00D6311D"/>
    <w:rsid w:val="00D63204"/>
    <w:rsid w:val="00D6358E"/>
    <w:rsid w:val="00D63754"/>
    <w:rsid w:val="00D63BA2"/>
    <w:rsid w:val="00D63E51"/>
    <w:rsid w:val="00D64C3D"/>
    <w:rsid w:val="00D64C67"/>
    <w:rsid w:val="00D64ED8"/>
    <w:rsid w:val="00D6546A"/>
    <w:rsid w:val="00D6599F"/>
    <w:rsid w:val="00D66306"/>
    <w:rsid w:val="00D66668"/>
    <w:rsid w:val="00D66751"/>
    <w:rsid w:val="00D66C1F"/>
    <w:rsid w:val="00D66DFE"/>
    <w:rsid w:val="00D66E45"/>
    <w:rsid w:val="00D67A0A"/>
    <w:rsid w:val="00D67B08"/>
    <w:rsid w:val="00D67DBF"/>
    <w:rsid w:val="00D70392"/>
    <w:rsid w:val="00D709E6"/>
    <w:rsid w:val="00D70E2C"/>
    <w:rsid w:val="00D711A1"/>
    <w:rsid w:val="00D712A1"/>
    <w:rsid w:val="00D71371"/>
    <w:rsid w:val="00D71C80"/>
    <w:rsid w:val="00D71F11"/>
    <w:rsid w:val="00D72324"/>
    <w:rsid w:val="00D724E0"/>
    <w:rsid w:val="00D72619"/>
    <w:rsid w:val="00D726F9"/>
    <w:rsid w:val="00D7274A"/>
    <w:rsid w:val="00D7281C"/>
    <w:rsid w:val="00D7313A"/>
    <w:rsid w:val="00D731A0"/>
    <w:rsid w:val="00D734D3"/>
    <w:rsid w:val="00D735FD"/>
    <w:rsid w:val="00D73687"/>
    <w:rsid w:val="00D7371C"/>
    <w:rsid w:val="00D738FB"/>
    <w:rsid w:val="00D73A9A"/>
    <w:rsid w:val="00D73E83"/>
    <w:rsid w:val="00D73F0E"/>
    <w:rsid w:val="00D74604"/>
    <w:rsid w:val="00D74825"/>
    <w:rsid w:val="00D74980"/>
    <w:rsid w:val="00D74FF4"/>
    <w:rsid w:val="00D7513D"/>
    <w:rsid w:val="00D75544"/>
    <w:rsid w:val="00D75854"/>
    <w:rsid w:val="00D75F5F"/>
    <w:rsid w:val="00D76021"/>
    <w:rsid w:val="00D760EA"/>
    <w:rsid w:val="00D7650B"/>
    <w:rsid w:val="00D765DA"/>
    <w:rsid w:val="00D76708"/>
    <w:rsid w:val="00D76A31"/>
    <w:rsid w:val="00D76E9F"/>
    <w:rsid w:val="00D76F42"/>
    <w:rsid w:val="00D771A0"/>
    <w:rsid w:val="00D772AD"/>
    <w:rsid w:val="00D7750D"/>
    <w:rsid w:val="00D775DE"/>
    <w:rsid w:val="00D7780B"/>
    <w:rsid w:val="00D801C1"/>
    <w:rsid w:val="00D801F1"/>
    <w:rsid w:val="00D8057C"/>
    <w:rsid w:val="00D80DF0"/>
    <w:rsid w:val="00D80FBC"/>
    <w:rsid w:val="00D81500"/>
    <w:rsid w:val="00D815BC"/>
    <w:rsid w:val="00D81A16"/>
    <w:rsid w:val="00D81C60"/>
    <w:rsid w:val="00D81C61"/>
    <w:rsid w:val="00D8220C"/>
    <w:rsid w:val="00D8221D"/>
    <w:rsid w:val="00D824A4"/>
    <w:rsid w:val="00D8257B"/>
    <w:rsid w:val="00D8277B"/>
    <w:rsid w:val="00D82A2B"/>
    <w:rsid w:val="00D82C40"/>
    <w:rsid w:val="00D82D5C"/>
    <w:rsid w:val="00D82E4C"/>
    <w:rsid w:val="00D832AB"/>
    <w:rsid w:val="00D83302"/>
    <w:rsid w:val="00D83990"/>
    <w:rsid w:val="00D83C35"/>
    <w:rsid w:val="00D83C39"/>
    <w:rsid w:val="00D8448B"/>
    <w:rsid w:val="00D845FF"/>
    <w:rsid w:val="00D8477F"/>
    <w:rsid w:val="00D84A06"/>
    <w:rsid w:val="00D85281"/>
    <w:rsid w:val="00D852FE"/>
    <w:rsid w:val="00D85399"/>
    <w:rsid w:val="00D854AE"/>
    <w:rsid w:val="00D85A10"/>
    <w:rsid w:val="00D85B04"/>
    <w:rsid w:val="00D85B3B"/>
    <w:rsid w:val="00D85B5E"/>
    <w:rsid w:val="00D85E68"/>
    <w:rsid w:val="00D86396"/>
    <w:rsid w:val="00D8659A"/>
    <w:rsid w:val="00D8663A"/>
    <w:rsid w:val="00D869D5"/>
    <w:rsid w:val="00D86D49"/>
    <w:rsid w:val="00D86EB6"/>
    <w:rsid w:val="00D8700E"/>
    <w:rsid w:val="00D872F7"/>
    <w:rsid w:val="00D8740D"/>
    <w:rsid w:val="00D875E0"/>
    <w:rsid w:val="00D87D3E"/>
    <w:rsid w:val="00D87F59"/>
    <w:rsid w:val="00D900C6"/>
    <w:rsid w:val="00D903C3"/>
    <w:rsid w:val="00D904A4"/>
    <w:rsid w:val="00D907B7"/>
    <w:rsid w:val="00D90821"/>
    <w:rsid w:val="00D90DB6"/>
    <w:rsid w:val="00D9102E"/>
    <w:rsid w:val="00D9108A"/>
    <w:rsid w:val="00D912F8"/>
    <w:rsid w:val="00D9130A"/>
    <w:rsid w:val="00D9140A"/>
    <w:rsid w:val="00D91D6E"/>
    <w:rsid w:val="00D91FAD"/>
    <w:rsid w:val="00D922EC"/>
    <w:rsid w:val="00D92660"/>
    <w:rsid w:val="00D92875"/>
    <w:rsid w:val="00D92D33"/>
    <w:rsid w:val="00D92D86"/>
    <w:rsid w:val="00D92FD2"/>
    <w:rsid w:val="00D9302F"/>
    <w:rsid w:val="00D9320D"/>
    <w:rsid w:val="00D93375"/>
    <w:rsid w:val="00D93522"/>
    <w:rsid w:val="00D9368F"/>
    <w:rsid w:val="00D93DB9"/>
    <w:rsid w:val="00D93EC8"/>
    <w:rsid w:val="00D94049"/>
    <w:rsid w:val="00D94282"/>
    <w:rsid w:val="00D9434D"/>
    <w:rsid w:val="00D94437"/>
    <w:rsid w:val="00D94535"/>
    <w:rsid w:val="00D94552"/>
    <w:rsid w:val="00D94892"/>
    <w:rsid w:val="00D9497A"/>
    <w:rsid w:val="00D94B2A"/>
    <w:rsid w:val="00D94BA8"/>
    <w:rsid w:val="00D94C47"/>
    <w:rsid w:val="00D951D3"/>
    <w:rsid w:val="00D952E6"/>
    <w:rsid w:val="00D953F6"/>
    <w:rsid w:val="00D95465"/>
    <w:rsid w:val="00D95646"/>
    <w:rsid w:val="00D95E4E"/>
    <w:rsid w:val="00D96038"/>
    <w:rsid w:val="00D9609A"/>
    <w:rsid w:val="00D960D3"/>
    <w:rsid w:val="00D962DA"/>
    <w:rsid w:val="00D962E9"/>
    <w:rsid w:val="00D964A3"/>
    <w:rsid w:val="00D96721"/>
    <w:rsid w:val="00D968D7"/>
    <w:rsid w:val="00D96CAB"/>
    <w:rsid w:val="00D96E16"/>
    <w:rsid w:val="00D96F54"/>
    <w:rsid w:val="00D971C2"/>
    <w:rsid w:val="00D972DD"/>
    <w:rsid w:val="00D976DA"/>
    <w:rsid w:val="00D97C16"/>
    <w:rsid w:val="00D97E01"/>
    <w:rsid w:val="00DA03B7"/>
    <w:rsid w:val="00DA0641"/>
    <w:rsid w:val="00DA0666"/>
    <w:rsid w:val="00DA0B3B"/>
    <w:rsid w:val="00DA0B4D"/>
    <w:rsid w:val="00DA0E90"/>
    <w:rsid w:val="00DA1059"/>
    <w:rsid w:val="00DA1215"/>
    <w:rsid w:val="00DA1380"/>
    <w:rsid w:val="00DA13A7"/>
    <w:rsid w:val="00DA15B9"/>
    <w:rsid w:val="00DA1838"/>
    <w:rsid w:val="00DA1ABF"/>
    <w:rsid w:val="00DA1B06"/>
    <w:rsid w:val="00DA29AB"/>
    <w:rsid w:val="00DA2A83"/>
    <w:rsid w:val="00DA321C"/>
    <w:rsid w:val="00DA36FF"/>
    <w:rsid w:val="00DA3B3C"/>
    <w:rsid w:val="00DA3C92"/>
    <w:rsid w:val="00DA3F15"/>
    <w:rsid w:val="00DA4122"/>
    <w:rsid w:val="00DA4165"/>
    <w:rsid w:val="00DA41F6"/>
    <w:rsid w:val="00DA4483"/>
    <w:rsid w:val="00DA49F7"/>
    <w:rsid w:val="00DA4ABB"/>
    <w:rsid w:val="00DA4CBA"/>
    <w:rsid w:val="00DA558C"/>
    <w:rsid w:val="00DA5598"/>
    <w:rsid w:val="00DA59CF"/>
    <w:rsid w:val="00DA5B0A"/>
    <w:rsid w:val="00DA5BB2"/>
    <w:rsid w:val="00DA69AD"/>
    <w:rsid w:val="00DA6BB3"/>
    <w:rsid w:val="00DA6C6F"/>
    <w:rsid w:val="00DA72AC"/>
    <w:rsid w:val="00DA745B"/>
    <w:rsid w:val="00DA759F"/>
    <w:rsid w:val="00DA75A4"/>
    <w:rsid w:val="00DB0119"/>
    <w:rsid w:val="00DB0617"/>
    <w:rsid w:val="00DB065D"/>
    <w:rsid w:val="00DB0A1D"/>
    <w:rsid w:val="00DB0C7E"/>
    <w:rsid w:val="00DB0E57"/>
    <w:rsid w:val="00DB173B"/>
    <w:rsid w:val="00DB1759"/>
    <w:rsid w:val="00DB187B"/>
    <w:rsid w:val="00DB20D8"/>
    <w:rsid w:val="00DB2310"/>
    <w:rsid w:val="00DB244A"/>
    <w:rsid w:val="00DB2523"/>
    <w:rsid w:val="00DB27B3"/>
    <w:rsid w:val="00DB28F6"/>
    <w:rsid w:val="00DB2C32"/>
    <w:rsid w:val="00DB2F84"/>
    <w:rsid w:val="00DB3219"/>
    <w:rsid w:val="00DB35BE"/>
    <w:rsid w:val="00DB3714"/>
    <w:rsid w:val="00DB3716"/>
    <w:rsid w:val="00DB3B74"/>
    <w:rsid w:val="00DB3C95"/>
    <w:rsid w:val="00DB3D65"/>
    <w:rsid w:val="00DB3F4D"/>
    <w:rsid w:val="00DB470F"/>
    <w:rsid w:val="00DB48EB"/>
    <w:rsid w:val="00DB49DA"/>
    <w:rsid w:val="00DB5599"/>
    <w:rsid w:val="00DB55E9"/>
    <w:rsid w:val="00DB57F0"/>
    <w:rsid w:val="00DB583F"/>
    <w:rsid w:val="00DB5888"/>
    <w:rsid w:val="00DB5A14"/>
    <w:rsid w:val="00DB63D9"/>
    <w:rsid w:val="00DB6B18"/>
    <w:rsid w:val="00DB6BB9"/>
    <w:rsid w:val="00DB6DAF"/>
    <w:rsid w:val="00DB7009"/>
    <w:rsid w:val="00DB7092"/>
    <w:rsid w:val="00DB74FF"/>
    <w:rsid w:val="00DB7C41"/>
    <w:rsid w:val="00DB7F8E"/>
    <w:rsid w:val="00DC04BD"/>
    <w:rsid w:val="00DC0641"/>
    <w:rsid w:val="00DC07CA"/>
    <w:rsid w:val="00DC08FE"/>
    <w:rsid w:val="00DC0A0B"/>
    <w:rsid w:val="00DC0E27"/>
    <w:rsid w:val="00DC0E38"/>
    <w:rsid w:val="00DC0F18"/>
    <w:rsid w:val="00DC1046"/>
    <w:rsid w:val="00DC113F"/>
    <w:rsid w:val="00DC21E2"/>
    <w:rsid w:val="00DC2476"/>
    <w:rsid w:val="00DC282B"/>
    <w:rsid w:val="00DC288B"/>
    <w:rsid w:val="00DC29B1"/>
    <w:rsid w:val="00DC29F3"/>
    <w:rsid w:val="00DC2A21"/>
    <w:rsid w:val="00DC2F82"/>
    <w:rsid w:val="00DC301D"/>
    <w:rsid w:val="00DC3027"/>
    <w:rsid w:val="00DC3691"/>
    <w:rsid w:val="00DC3733"/>
    <w:rsid w:val="00DC3A33"/>
    <w:rsid w:val="00DC3A89"/>
    <w:rsid w:val="00DC3AA4"/>
    <w:rsid w:val="00DC3C8F"/>
    <w:rsid w:val="00DC3F6F"/>
    <w:rsid w:val="00DC412A"/>
    <w:rsid w:val="00DC42EC"/>
    <w:rsid w:val="00DC4388"/>
    <w:rsid w:val="00DC4612"/>
    <w:rsid w:val="00DC4B8B"/>
    <w:rsid w:val="00DC4F9F"/>
    <w:rsid w:val="00DC5A1B"/>
    <w:rsid w:val="00DC6268"/>
    <w:rsid w:val="00DC65FD"/>
    <w:rsid w:val="00DC6713"/>
    <w:rsid w:val="00DC69EC"/>
    <w:rsid w:val="00DC6A8C"/>
    <w:rsid w:val="00DC6AE8"/>
    <w:rsid w:val="00DC6C9C"/>
    <w:rsid w:val="00DC6D16"/>
    <w:rsid w:val="00DC6D97"/>
    <w:rsid w:val="00DC7041"/>
    <w:rsid w:val="00DC7049"/>
    <w:rsid w:val="00DC7247"/>
    <w:rsid w:val="00DC7515"/>
    <w:rsid w:val="00DC7543"/>
    <w:rsid w:val="00DC7796"/>
    <w:rsid w:val="00DC78BB"/>
    <w:rsid w:val="00DC7F8C"/>
    <w:rsid w:val="00DC7FF8"/>
    <w:rsid w:val="00DD007D"/>
    <w:rsid w:val="00DD0BCD"/>
    <w:rsid w:val="00DD0F41"/>
    <w:rsid w:val="00DD0FEC"/>
    <w:rsid w:val="00DD0FF3"/>
    <w:rsid w:val="00DD1915"/>
    <w:rsid w:val="00DD191A"/>
    <w:rsid w:val="00DD1A39"/>
    <w:rsid w:val="00DD1EDC"/>
    <w:rsid w:val="00DD1EE4"/>
    <w:rsid w:val="00DD1FC9"/>
    <w:rsid w:val="00DD212E"/>
    <w:rsid w:val="00DD23E4"/>
    <w:rsid w:val="00DD23F1"/>
    <w:rsid w:val="00DD2EAF"/>
    <w:rsid w:val="00DD2F4B"/>
    <w:rsid w:val="00DD2F6E"/>
    <w:rsid w:val="00DD32A8"/>
    <w:rsid w:val="00DD370F"/>
    <w:rsid w:val="00DD373D"/>
    <w:rsid w:val="00DD3815"/>
    <w:rsid w:val="00DD38DB"/>
    <w:rsid w:val="00DD3945"/>
    <w:rsid w:val="00DD39D1"/>
    <w:rsid w:val="00DD3C47"/>
    <w:rsid w:val="00DD3CD3"/>
    <w:rsid w:val="00DD3DD9"/>
    <w:rsid w:val="00DD4125"/>
    <w:rsid w:val="00DD4286"/>
    <w:rsid w:val="00DD430C"/>
    <w:rsid w:val="00DD49E8"/>
    <w:rsid w:val="00DD4AAD"/>
    <w:rsid w:val="00DD4EE8"/>
    <w:rsid w:val="00DD5169"/>
    <w:rsid w:val="00DD51E1"/>
    <w:rsid w:val="00DD543F"/>
    <w:rsid w:val="00DD54A3"/>
    <w:rsid w:val="00DD54E0"/>
    <w:rsid w:val="00DD5AD1"/>
    <w:rsid w:val="00DD6860"/>
    <w:rsid w:val="00DD6A44"/>
    <w:rsid w:val="00DD6B9E"/>
    <w:rsid w:val="00DD716D"/>
    <w:rsid w:val="00DD7631"/>
    <w:rsid w:val="00DD7670"/>
    <w:rsid w:val="00DD7694"/>
    <w:rsid w:val="00DD782B"/>
    <w:rsid w:val="00DD79BE"/>
    <w:rsid w:val="00DD79D4"/>
    <w:rsid w:val="00DD7C10"/>
    <w:rsid w:val="00DD7CC3"/>
    <w:rsid w:val="00DD7DD6"/>
    <w:rsid w:val="00DE0003"/>
    <w:rsid w:val="00DE02D2"/>
    <w:rsid w:val="00DE0945"/>
    <w:rsid w:val="00DE0DEB"/>
    <w:rsid w:val="00DE0F4F"/>
    <w:rsid w:val="00DE18BF"/>
    <w:rsid w:val="00DE2006"/>
    <w:rsid w:val="00DE20D6"/>
    <w:rsid w:val="00DE21BE"/>
    <w:rsid w:val="00DE237B"/>
    <w:rsid w:val="00DE26FA"/>
    <w:rsid w:val="00DE287B"/>
    <w:rsid w:val="00DE287D"/>
    <w:rsid w:val="00DE2A21"/>
    <w:rsid w:val="00DE2D35"/>
    <w:rsid w:val="00DE35AC"/>
    <w:rsid w:val="00DE3846"/>
    <w:rsid w:val="00DE3AA9"/>
    <w:rsid w:val="00DE3BF6"/>
    <w:rsid w:val="00DE3F4B"/>
    <w:rsid w:val="00DE4176"/>
    <w:rsid w:val="00DE4208"/>
    <w:rsid w:val="00DE4749"/>
    <w:rsid w:val="00DE47FD"/>
    <w:rsid w:val="00DE492A"/>
    <w:rsid w:val="00DE494F"/>
    <w:rsid w:val="00DE4A4F"/>
    <w:rsid w:val="00DE4C74"/>
    <w:rsid w:val="00DE4C8D"/>
    <w:rsid w:val="00DE51F6"/>
    <w:rsid w:val="00DE5848"/>
    <w:rsid w:val="00DE59D7"/>
    <w:rsid w:val="00DE5A5A"/>
    <w:rsid w:val="00DE5B7B"/>
    <w:rsid w:val="00DE5F07"/>
    <w:rsid w:val="00DE650D"/>
    <w:rsid w:val="00DE6678"/>
    <w:rsid w:val="00DE66AA"/>
    <w:rsid w:val="00DE68E1"/>
    <w:rsid w:val="00DE69DA"/>
    <w:rsid w:val="00DE70E9"/>
    <w:rsid w:val="00DE72FE"/>
    <w:rsid w:val="00DE7365"/>
    <w:rsid w:val="00DE73CD"/>
    <w:rsid w:val="00DE73F9"/>
    <w:rsid w:val="00DE7783"/>
    <w:rsid w:val="00DE79AF"/>
    <w:rsid w:val="00DE7AA7"/>
    <w:rsid w:val="00DF025A"/>
    <w:rsid w:val="00DF0574"/>
    <w:rsid w:val="00DF0743"/>
    <w:rsid w:val="00DF0A42"/>
    <w:rsid w:val="00DF0C58"/>
    <w:rsid w:val="00DF0D8F"/>
    <w:rsid w:val="00DF10D6"/>
    <w:rsid w:val="00DF130B"/>
    <w:rsid w:val="00DF151D"/>
    <w:rsid w:val="00DF16B7"/>
    <w:rsid w:val="00DF1792"/>
    <w:rsid w:val="00DF1D29"/>
    <w:rsid w:val="00DF1D72"/>
    <w:rsid w:val="00DF244C"/>
    <w:rsid w:val="00DF2582"/>
    <w:rsid w:val="00DF2796"/>
    <w:rsid w:val="00DF2897"/>
    <w:rsid w:val="00DF2EFD"/>
    <w:rsid w:val="00DF3258"/>
    <w:rsid w:val="00DF3330"/>
    <w:rsid w:val="00DF344B"/>
    <w:rsid w:val="00DF3792"/>
    <w:rsid w:val="00DF3D11"/>
    <w:rsid w:val="00DF3E7E"/>
    <w:rsid w:val="00DF409E"/>
    <w:rsid w:val="00DF40C9"/>
    <w:rsid w:val="00DF40E0"/>
    <w:rsid w:val="00DF46A5"/>
    <w:rsid w:val="00DF491A"/>
    <w:rsid w:val="00DF514C"/>
    <w:rsid w:val="00DF51DC"/>
    <w:rsid w:val="00DF522B"/>
    <w:rsid w:val="00DF5722"/>
    <w:rsid w:val="00DF62B9"/>
    <w:rsid w:val="00DF64A6"/>
    <w:rsid w:val="00DF6B6D"/>
    <w:rsid w:val="00DF6E0F"/>
    <w:rsid w:val="00DF704E"/>
    <w:rsid w:val="00DF7361"/>
    <w:rsid w:val="00DF73B0"/>
    <w:rsid w:val="00DF7594"/>
    <w:rsid w:val="00DF78E9"/>
    <w:rsid w:val="00DF7D5F"/>
    <w:rsid w:val="00DF7F49"/>
    <w:rsid w:val="00E00065"/>
    <w:rsid w:val="00E00274"/>
    <w:rsid w:val="00E00527"/>
    <w:rsid w:val="00E00789"/>
    <w:rsid w:val="00E007FB"/>
    <w:rsid w:val="00E009B0"/>
    <w:rsid w:val="00E00A30"/>
    <w:rsid w:val="00E00DD5"/>
    <w:rsid w:val="00E0123D"/>
    <w:rsid w:val="00E01263"/>
    <w:rsid w:val="00E016E8"/>
    <w:rsid w:val="00E018F8"/>
    <w:rsid w:val="00E01A72"/>
    <w:rsid w:val="00E01C8D"/>
    <w:rsid w:val="00E0201E"/>
    <w:rsid w:val="00E028DD"/>
    <w:rsid w:val="00E0326E"/>
    <w:rsid w:val="00E0354F"/>
    <w:rsid w:val="00E03686"/>
    <w:rsid w:val="00E03F5D"/>
    <w:rsid w:val="00E0414C"/>
    <w:rsid w:val="00E04B8B"/>
    <w:rsid w:val="00E04CC1"/>
    <w:rsid w:val="00E05249"/>
    <w:rsid w:val="00E05338"/>
    <w:rsid w:val="00E054CD"/>
    <w:rsid w:val="00E05A6C"/>
    <w:rsid w:val="00E05AD7"/>
    <w:rsid w:val="00E05B72"/>
    <w:rsid w:val="00E05D82"/>
    <w:rsid w:val="00E05F71"/>
    <w:rsid w:val="00E05F98"/>
    <w:rsid w:val="00E06604"/>
    <w:rsid w:val="00E06688"/>
    <w:rsid w:val="00E0671B"/>
    <w:rsid w:val="00E06B0C"/>
    <w:rsid w:val="00E0711E"/>
    <w:rsid w:val="00E074E4"/>
    <w:rsid w:val="00E07B3F"/>
    <w:rsid w:val="00E07DDF"/>
    <w:rsid w:val="00E07EDF"/>
    <w:rsid w:val="00E103C6"/>
    <w:rsid w:val="00E1072E"/>
    <w:rsid w:val="00E108AE"/>
    <w:rsid w:val="00E10AF8"/>
    <w:rsid w:val="00E10CA5"/>
    <w:rsid w:val="00E10CE8"/>
    <w:rsid w:val="00E11006"/>
    <w:rsid w:val="00E111CD"/>
    <w:rsid w:val="00E11517"/>
    <w:rsid w:val="00E11959"/>
    <w:rsid w:val="00E11A3C"/>
    <w:rsid w:val="00E11D7C"/>
    <w:rsid w:val="00E11E7B"/>
    <w:rsid w:val="00E12494"/>
    <w:rsid w:val="00E12BE8"/>
    <w:rsid w:val="00E12DB3"/>
    <w:rsid w:val="00E130CB"/>
    <w:rsid w:val="00E1341C"/>
    <w:rsid w:val="00E13645"/>
    <w:rsid w:val="00E138F4"/>
    <w:rsid w:val="00E13B26"/>
    <w:rsid w:val="00E13C6D"/>
    <w:rsid w:val="00E142B5"/>
    <w:rsid w:val="00E147E3"/>
    <w:rsid w:val="00E14909"/>
    <w:rsid w:val="00E14C19"/>
    <w:rsid w:val="00E14E64"/>
    <w:rsid w:val="00E150AC"/>
    <w:rsid w:val="00E1516D"/>
    <w:rsid w:val="00E152A1"/>
    <w:rsid w:val="00E154DF"/>
    <w:rsid w:val="00E15A37"/>
    <w:rsid w:val="00E15B59"/>
    <w:rsid w:val="00E15B8A"/>
    <w:rsid w:val="00E161E5"/>
    <w:rsid w:val="00E163AB"/>
    <w:rsid w:val="00E169BA"/>
    <w:rsid w:val="00E170BC"/>
    <w:rsid w:val="00E171F9"/>
    <w:rsid w:val="00E17ABC"/>
    <w:rsid w:val="00E17AEB"/>
    <w:rsid w:val="00E17BE4"/>
    <w:rsid w:val="00E17D24"/>
    <w:rsid w:val="00E2024F"/>
    <w:rsid w:val="00E20354"/>
    <w:rsid w:val="00E2039A"/>
    <w:rsid w:val="00E20498"/>
    <w:rsid w:val="00E20662"/>
    <w:rsid w:val="00E2096B"/>
    <w:rsid w:val="00E20D2D"/>
    <w:rsid w:val="00E20F4B"/>
    <w:rsid w:val="00E20F6B"/>
    <w:rsid w:val="00E21043"/>
    <w:rsid w:val="00E21105"/>
    <w:rsid w:val="00E21191"/>
    <w:rsid w:val="00E21252"/>
    <w:rsid w:val="00E2152F"/>
    <w:rsid w:val="00E21642"/>
    <w:rsid w:val="00E21A43"/>
    <w:rsid w:val="00E21D38"/>
    <w:rsid w:val="00E21DFB"/>
    <w:rsid w:val="00E223C4"/>
    <w:rsid w:val="00E22478"/>
    <w:rsid w:val="00E22C2F"/>
    <w:rsid w:val="00E22C49"/>
    <w:rsid w:val="00E2309E"/>
    <w:rsid w:val="00E232FC"/>
    <w:rsid w:val="00E23CBF"/>
    <w:rsid w:val="00E23F11"/>
    <w:rsid w:val="00E23F5D"/>
    <w:rsid w:val="00E23F71"/>
    <w:rsid w:val="00E240C5"/>
    <w:rsid w:val="00E241A9"/>
    <w:rsid w:val="00E24D58"/>
    <w:rsid w:val="00E2533A"/>
    <w:rsid w:val="00E253E1"/>
    <w:rsid w:val="00E2580D"/>
    <w:rsid w:val="00E259AC"/>
    <w:rsid w:val="00E25B16"/>
    <w:rsid w:val="00E26038"/>
    <w:rsid w:val="00E2617E"/>
    <w:rsid w:val="00E26245"/>
    <w:rsid w:val="00E270BC"/>
    <w:rsid w:val="00E2710E"/>
    <w:rsid w:val="00E271E1"/>
    <w:rsid w:val="00E2727F"/>
    <w:rsid w:val="00E273A3"/>
    <w:rsid w:val="00E27539"/>
    <w:rsid w:val="00E27928"/>
    <w:rsid w:val="00E2797C"/>
    <w:rsid w:val="00E27A37"/>
    <w:rsid w:val="00E27A77"/>
    <w:rsid w:val="00E27F6B"/>
    <w:rsid w:val="00E302B6"/>
    <w:rsid w:val="00E30533"/>
    <w:rsid w:val="00E30A92"/>
    <w:rsid w:val="00E30CC0"/>
    <w:rsid w:val="00E30DF2"/>
    <w:rsid w:val="00E31515"/>
    <w:rsid w:val="00E315AE"/>
    <w:rsid w:val="00E3164B"/>
    <w:rsid w:val="00E31C9F"/>
    <w:rsid w:val="00E31D0C"/>
    <w:rsid w:val="00E31DD6"/>
    <w:rsid w:val="00E32002"/>
    <w:rsid w:val="00E321CF"/>
    <w:rsid w:val="00E32629"/>
    <w:rsid w:val="00E32677"/>
    <w:rsid w:val="00E32730"/>
    <w:rsid w:val="00E32985"/>
    <w:rsid w:val="00E32BE7"/>
    <w:rsid w:val="00E3300F"/>
    <w:rsid w:val="00E330F9"/>
    <w:rsid w:val="00E333EB"/>
    <w:rsid w:val="00E33EFC"/>
    <w:rsid w:val="00E33F1D"/>
    <w:rsid w:val="00E33F66"/>
    <w:rsid w:val="00E3431F"/>
    <w:rsid w:val="00E34957"/>
    <w:rsid w:val="00E34A65"/>
    <w:rsid w:val="00E357B3"/>
    <w:rsid w:val="00E360E3"/>
    <w:rsid w:val="00E365FA"/>
    <w:rsid w:val="00E369AB"/>
    <w:rsid w:val="00E36D66"/>
    <w:rsid w:val="00E3702A"/>
    <w:rsid w:val="00E37112"/>
    <w:rsid w:val="00E37467"/>
    <w:rsid w:val="00E37967"/>
    <w:rsid w:val="00E37EA9"/>
    <w:rsid w:val="00E37ED1"/>
    <w:rsid w:val="00E40782"/>
    <w:rsid w:val="00E40878"/>
    <w:rsid w:val="00E41305"/>
    <w:rsid w:val="00E4135B"/>
    <w:rsid w:val="00E4151B"/>
    <w:rsid w:val="00E41944"/>
    <w:rsid w:val="00E41C74"/>
    <w:rsid w:val="00E41F4A"/>
    <w:rsid w:val="00E42014"/>
    <w:rsid w:val="00E4207A"/>
    <w:rsid w:val="00E420CA"/>
    <w:rsid w:val="00E42281"/>
    <w:rsid w:val="00E426E9"/>
    <w:rsid w:val="00E427BB"/>
    <w:rsid w:val="00E42975"/>
    <w:rsid w:val="00E42D7E"/>
    <w:rsid w:val="00E42E91"/>
    <w:rsid w:val="00E4318A"/>
    <w:rsid w:val="00E4338A"/>
    <w:rsid w:val="00E4386B"/>
    <w:rsid w:val="00E439EC"/>
    <w:rsid w:val="00E43B6A"/>
    <w:rsid w:val="00E4419C"/>
    <w:rsid w:val="00E44375"/>
    <w:rsid w:val="00E4441D"/>
    <w:rsid w:val="00E44972"/>
    <w:rsid w:val="00E44A76"/>
    <w:rsid w:val="00E44C7B"/>
    <w:rsid w:val="00E44F88"/>
    <w:rsid w:val="00E44FB5"/>
    <w:rsid w:val="00E454AE"/>
    <w:rsid w:val="00E454F2"/>
    <w:rsid w:val="00E45623"/>
    <w:rsid w:val="00E45636"/>
    <w:rsid w:val="00E45ED3"/>
    <w:rsid w:val="00E45EDC"/>
    <w:rsid w:val="00E460F2"/>
    <w:rsid w:val="00E4611E"/>
    <w:rsid w:val="00E46477"/>
    <w:rsid w:val="00E46A3F"/>
    <w:rsid w:val="00E46B48"/>
    <w:rsid w:val="00E46C1A"/>
    <w:rsid w:val="00E46DB8"/>
    <w:rsid w:val="00E46FD5"/>
    <w:rsid w:val="00E47628"/>
    <w:rsid w:val="00E476C6"/>
    <w:rsid w:val="00E479B0"/>
    <w:rsid w:val="00E47A2E"/>
    <w:rsid w:val="00E47DBA"/>
    <w:rsid w:val="00E500ED"/>
    <w:rsid w:val="00E501A1"/>
    <w:rsid w:val="00E50596"/>
    <w:rsid w:val="00E5149A"/>
    <w:rsid w:val="00E5151C"/>
    <w:rsid w:val="00E515D6"/>
    <w:rsid w:val="00E515ED"/>
    <w:rsid w:val="00E51725"/>
    <w:rsid w:val="00E517B4"/>
    <w:rsid w:val="00E519D4"/>
    <w:rsid w:val="00E51A9A"/>
    <w:rsid w:val="00E51BC0"/>
    <w:rsid w:val="00E51D11"/>
    <w:rsid w:val="00E51DD1"/>
    <w:rsid w:val="00E522B4"/>
    <w:rsid w:val="00E52584"/>
    <w:rsid w:val="00E52714"/>
    <w:rsid w:val="00E52964"/>
    <w:rsid w:val="00E52DAC"/>
    <w:rsid w:val="00E5339A"/>
    <w:rsid w:val="00E53472"/>
    <w:rsid w:val="00E53B3D"/>
    <w:rsid w:val="00E53FA6"/>
    <w:rsid w:val="00E5426C"/>
    <w:rsid w:val="00E54687"/>
    <w:rsid w:val="00E547D6"/>
    <w:rsid w:val="00E54D0A"/>
    <w:rsid w:val="00E54FA9"/>
    <w:rsid w:val="00E55017"/>
    <w:rsid w:val="00E550DC"/>
    <w:rsid w:val="00E5521A"/>
    <w:rsid w:val="00E5533C"/>
    <w:rsid w:val="00E553FB"/>
    <w:rsid w:val="00E55602"/>
    <w:rsid w:val="00E557BB"/>
    <w:rsid w:val="00E55854"/>
    <w:rsid w:val="00E55A71"/>
    <w:rsid w:val="00E55B17"/>
    <w:rsid w:val="00E55B27"/>
    <w:rsid w:val="00E55C15"/>
    <w:rsid w:val="00E55DB9"/>
    <w:rsid w:val="00E56146"/>
    <w:rsid w:val="00E5621C"/>
    <w:rsid w:val="00E5639E"/>
    <w:rsid w:val="00E56D92"/>
    <w:rsid w:val="00E57103"/>
    <w:rsid w:val="00E579CB"/>
    <w:rsid w:val="00E57FA2"/>
    <w:rsid w:val="00E57FD0"/>
    <w:rsid w:val="00E601BB"/>
    <w:rsid w:val="00E603AB"/>
    <w:rsid w:val="00E6050D"/>
    <w:rsid w:val="00E6082B"/>
    <w:rsid w:val="00E6092C"/>
    <w:rsid w:val="00E60BCD"/>
    <w:rsid w:val="00E60CCB"/>
    <w:rsid w:val="00E60D3F"/>
    <w:rsid w:val="00E60DDC"/>
    <w:rsid w:val="00E60EDE"/>
    <w:rsid w:val="00E60FAA"/>
    <w:rsid w:val="00E612DE"/>
    <w:rsid w:val="00E61564"/>
    <w:rsid w:val="00E61692"/>
    <w:rsid w:val="00E61870"/>
    <w:rsid w:val="00E61AAF"/>
    <w:rsid w:val="00E6203B"/>
    <w:rsid w:val="00E620B9"/>
    <w:rsid w:val="00E622A7"/>
    <w:rsid w:val="00E6243B"/>
    <w:rsid w:val="00E624CC"/>
    <w:rsid w:val="00E6290B"/>
    <w:rsid w:val="00E62B16"/>
    <w:rsid w:val="00E62C8D"/>
    <w:rsid w:val="00E62ED4"/>
    <w:rsid w:val="00E62FCD"/>
    <w:rsid w:val="00E630E8"/>
    <w:rsid w:val="00E632CF"/>
    <w:rsid w:val="00E63583"/>
    <w:rsid w:val="00E635E5"/>
    <w:rsid w:val="00E63613"/>
    <w:rsid w:val="00E636EB"/>
    <w:rsid w:val="00E64682"/>
    <w:rsid w:val="00E64783"/>
    <w:rsid w:val="00E64823"/>
    <w:rsid w:val="00E64A3C"/>
    <w:rsid w:val="00E64DB9"/>
    <w:rsid w:val="00E64F9A"/>
    <w:rsid w:val="00E65721"/>
    <w:rsid w:val="00E65902"/>
    <w:rsid w:val="00E65B38"/>
    <w:rsid w:val="00E65E38"/>
    <w:rsid w:val="00E660E4"/>
    <w:rsid w:val="00E66377"/>
    <w:rsid w:val="00E6661D"/>
    <w:rsid w:val="00E66772"/>
    <w:rsid w:val="00E66BCA"/>
    <w:rsid w:val="00E67691"/>
    <w:rsid w:val="00E67916"/>
    <w:rsid w:val="00E67A99"/>
    <w:rsid w:val="00E67BAF"/>
    <w:rsid w:val="00E67F28"/>
    <w:rsid w:val="00E67F8A"/>
    <w:rsid w:val="00E67FAE"/>
    <w:rsid w:val="00E70013"/>
    <w:rsid w:val="00E70269"/>
    <w:rsid w:val="00E7037F"/>
    <w:rsid w:val="00E705FD"/>
    <w:rsid w:val="00E70A8D"/>
    <w:rsid w:val="00E70A99"/>
    <w:rsid w:val="00E70C54"/>
    <w:rsid w:val="00E70E8F"/>
    <w:rsid w:val="00E70FDF"/>
    <w:rsid w:val="00E7114F"/>
    <w:rsid w:val="00E713D0"/>
    <w:rsid w:val="00E71470"/>
    <w:rsid w:val="00E71788"/>
    <w:rsid w:val="00E71D3A"/>
    <w:rsid w:val="00E72456"/>
    <w:rsid w:val="00E724DE"/>
    <w:rsid w:val="00E7263E"/>
    <w:rsid w:val="00E72872"/>
    <w:rsid w:val="00E72E14"/>
    <w:rsid w:val="00E73072"/>
    <w:rsid w:val="00E73313"/>
    <w:rsid w:val="00E7340B"/>
    <w:rsid w:val="00E73ABE"/>
    <w:rsid w:val="00E7578D"/>
    <w:rsid w:val="00E760EC"/>
    <w:rsid w:val="00E760EF"/>
    <w:rsid w:val="00E7637A"/>
    <w:rsid w:val="00E766BD"/>
    <w:rsid w:val="00E767DD"/>
    <w:rsid w:val="00E768DF"/>
    <w:rsid w:val="00E76D36"/>
    <w:rsid w:val="00E771A9"/>
    <w:rsid w:val="00E77263"/>
    <w:rsid w:val="00E775A9"/>
    <w:rsid w:val="00E77A0A"/>
    <w:rsid w:val="00E77A96"/>
    <w:rsid w:val="00E80486"/>
    <w:rsid w:val="00E806B0"/>
    <w:rsid w:val="00E806D7"/>
    <w:rsid w:val="00E8071B"/>
    <w:rsid w:val="00E80952"/>
    <w:rsid w:val="00E810EB"/>
    <w:rsid w:val="00E82827"/>
    <w:rsid w:val="00E82D50"/>
    <w:rsid w:val="00E832A2"/>
    <w:rsid w:val="00E832CD"/>
    <w:rsid w:val="00E832EB"/>
    <w:rsid w:val="00E838C0"/>
    <w:rsid w:val="00E83E17"/>
    <w:rsid w:val="00E83E20"/>
    <w:rsid w:val="00E83F42"/>
    <w:rsid w:val="00E83FA2"/>
    <w:rsid w:val="00E841FF"/>
    <w:rsid w:val="00E84303"/>
    <w:rsid w:val="00E8446A"/>
    <w:rsid w:val="00E8458D"/>
    <w:rsid w:val="00E846CB"/>
    <w:rsid w:val="00E84C03"/>
    <w:rsid w:val="00E84DDD"/>
    <w:rsid w:val="00E854CE"/>
    <w:rsid w:val="00E85B07"/>
    <w:rsid w:val="00E85C61"/>
    <w:rsid w:val="00E85C8D"/>
    <w:rsid w:val="00E86306"/>
    <w:rsid w:val="00E86575"/>
    <w:rsid w:val="00E86846"/>
    <w:rsid w:val="00E86EF5"/>
    <w:rsid w:val="00E86F4D"/>
    <w:rsid w:val="00E874CD"/>
    <w:rsid w:val="00E878F9"/>
    <w:rsid w:val="00E90AFB"/>
    <w:rsid w:val="00E90DC5"/>
    <w:rsid w:val="00E90DE8"/>
    <w:rsid w:val="00E910AA"/>
    <w:rsid w:val="00E910FD"/>
    <w:rsid w:val="00E914D1"/>
    <w:rsid w:val="00E91649"/>
    <w:rsid w:val="00E91684"/>
    <w:rsid w:val="00E92103"/>
    <w:rsid w:val="00E925BB"/>
    <w:rsid w:val="00E92905"/>
    <w:rsid w:val="00E92C8D"/>
    <w:rsid w:val="00E92DAC"/>
    <w:rsid w:val="00E9303B"/>
    <w:rsid w:val="00E930FB"/>
    <w:rsid w:val="00E93D51"/>
    <w:rsid w:val="00E9420C"/>
    <w:rsid w:val="00E947FE"/>
    <w:rsid w:val="00E94F8E"/>
    <w:rsid w:val="00E94FBB"/>
    <w:rsid w:val="00E950C4"/>
    <w:rsid w:val="00E95651"/>
    <w:rsid w:val="00E95A9A"/>
    <w:rsid w:val="00E95B40"/>
    <w:rsid w:val="00E95E79"/>
    <w:rsid w:val="00E9623B"/>
    <w:rsid w:val="00E962C4"/>
    <w:rsid w:val="00E96504"/>
    <w:rsid w:val="00E967E1"/>
    <w:rsid w:val="00E96862"/>
    <w:rsid w:val="00E969F2"/>
    <w:rsid w:val="00E96B12"/>
    <w:rsid w:val="00E96BCD"/>
    <w:rsid w:val="00E96C07"/>
    <w:rsid w:val="00E96C51"/>
    <w:rsid w:val="00E96E72"/>
    <w:rsid w:val="00E971D0"/>
    <w:rsid w:val="00E97289"/>
    <w:rsid w:val="00E97609"/>
    <w:rsid w:val="00E97941"/>
    <w:rsid w:val="00E979BA"/>
    <w:rsid w:val="00E97BBB"/>
    <w:rsid w:val="00E97BCF"/>
    <w:rsid w:val="00E97D5C"/>
    <w:rsid w:val="00E97FE7"/>
    <w:rsid w:val="00EA0047"/>
    <w:rsid w:val="00EA0065"/>
    <w:rsid w:val="00EA01F7"/>
    <w:rsid w:val="00EA02F7"/>
    <w:rsid w:val="00EA0410"/>
    <w:rsid w:val="00EA055F"/>
    <w:rsid w:val="00EA0F00"/>
    <w:rsid w:val="00EA1044"/>
    <w:rsid w:val="00EA1244"/>
    <w:rsid w:val="00EA1362"/>
    <w:rsid w:val="00EA188A"/>
    <w:rsid w:val="00EA18B4"/>
    <w:rsid w:val="00EA1A1E"/>
    <w:rsid w:val="00EA1CF3"/>
    <w:rsid w:val="00EA1DF9"/>
    <w:rsid w:val="00EA2BE1"/>
    <w:rsid w:val="00EA2C40"/>
    <w:rsid w:val="00EA2C75"/>
    <w:rsid w:val="00EA313B"/>
    <w:rsid w:val="00EA32F7"/>
    <w:rsid w:val="00EA3692"/>
    <w:rsid w:val="00EA36A4"/>
    <w:rsid w:val="00EA3799"/>
    <w:rsid w:val="00EA37C0"/>
    <w:rsid w:val="00EA3A2A"/>
    <w:rsid w:val="00EA3F25"/>
    <w:rsid w:val="00EA4151"/>
    <w:rsid w:val="00EA427D"/>
    <w:rsid w:val="00EA43B8"/>
    <w:rsid w:val="00EA4773"/>
    <w:rsid w:val="00EA4B28"/>
    <w:rsid w:val="00EA4F5A"/>
    <w:rsid w:val="00EA5040"/>
    <w:rsid w:val="00EA50D6"/>
    <w:rsid w:val="00EA51B4"/>
    <w:rsid w:val="00EA5637"/>
    <w:rsid w:val="00EA5724"/>
    <w:rsid w:val="00EA5FCF"/>
    <w:rsid w:val="00EA6450"/>
    <w:rsid w:val="00EA661F"/>
    <w:rsid w:val="00EA685B"/>
    <w:rsid w:val="00EA68E1"/>
    <w:rsid w:val="00EA6B57"/>
    <w:rsid w:val="00EA6C1D"/>
    <w:rsid w:val="00EA6ECD"/>
    <w:rsid w:val="00EA7056"/>
    <w:rsid w:val="00EA783E"/>
    <w:rsid w:val="00EB0208"/>
    <w:rsid w:val="00EB07CA"/>
    <w:rsid w:val="00EB0B4D"/>
    <w:rsid w:val="00EB10C3"/>
    <w:rsid w:val="00EB12B8"/>
    <w:rsid w:val="00EB14AE"/>
    <w:rsid w:val="00EB1832"/>
    <w:rsid w:val="00EB1B19"/>
    <w:rsid w:val="00EB2299"/>
    <w:rsid w:val="00EB2754"/>
    <w:rsid w:val="00EB2FCB"/>
    <w:rsid w:val="00EB307C"/>
    <w:rsid w:val="00EB3138"/>
    <w:rsid w:val="00EB31D4"/>
    <w:rsid w:val="00EB335D"/>
    <w:rsid w:val="00EB363B"/>
    <w:rsid w:val="00EB36FD"/>
    <w:rsid w:val="00EB3D89"/>
    <w:rsid w:val="00EB3E25"/>
    <w:rsid w:val="00EB44AD"/>
    <w:rsid w:val="00EB490D"/>
    <w:rsid w:val="00EB5077"/>
    <w:rsid w:val="00EB5214"/>
    <w:rsid w:val="00EB5462"/>
    <w:rsid w:val="00EB5490"/>
    <w:rsid w:val="00EB55B5"/>
    <w:rsid w:val="00EB55FE"/>
    <w:rsid w:val="00EB5785"/>
    <w:rsid w:val="00EB6004"/>
    <w:rsid w:val="00EB608E"/>
    <w:rsid w:val="00EB6155"/>
    <w:rsid w:val="00EB62DF"/>
    <w:rsid w:val="00EB65D4"/>
    <w:rsid w:val="00EB6631"/>
    <w:rsid w:val="00EB6809"/>
    <w:rsid w:val="00EB6C23"/>
    <w:rsid w:val="00EB6E73"/>
    <w:rsid w:val="00EB6F86"/>
    <w:rsid w:val="00EB74C2"/>
    <w:rsid w:val="00EB76AD"/>
    <w:rsid w:val="00EB775F"/>
    <w:rsid w:val="00EB7DE9"/>
    <w:rsid w:val="00EC07DE"/>
    <w:rsid w:val="00EC145B"/>
    <w:rsid w:val="00EC19B9"/>
    <w:rsid w:val="00EC1C51"/>
    <w:rsid w:val="00EC1CDF"/>
    <w:rsid w:val="00EC2308"/>
    <w:rsid w:val="00EC2656"/>
    <w:rsid w:val="00EC2F8F"/>
    <w:rsid w:val="00EC3167"/>
    <w:rsid w:val="00EC321A"/>
    <w:rsid w:val="00EC32AC"/>
    <w:rsid w:val="00EC3522"/>
    <w:rsid w:val="00EC3A04"/>
    <w:rsid w:val="00EC3C30"/>
    <w:rsid w:val="00EC3E46"/>
    <w:rsid w:val="00EC3F7D"/>
    <w:rsid w:val="00EC4509"/>
    <w:rsid w:val="00EC4940"/>
    <w:rsid w:val="00EC4BD0"/>
    <w:rsid w:val="00EC4CB5"/>
    <w:rsid w:val="00EC4D99"/>
    <w:rsid w:val="00EC5259"/>
    <w:rsid w:val="00EC53B3"/>
    <w:rsid w:val="00EC5462"/>
    <w:rsid w:val="00EC5516"/>
    <w:rsid w:val="00EC563B"/>
    <w:rsid w:val="00EC5B78"/>
    <w:rsid w:val="00EC608C"/>
    <w:rsid w:val="00EC60B7"/>
    <w:rsid w:val="00EC66F8"/>
    <w:rsid w:val="00EC6C36"/>
    <w:rsid w:val="00EC6D0A"/>
    <w:rsid w:val="00EC72D5"/>
    <w:rsid w:val="00EC733A"/>
    <w:rsid w:val="00EC741E"/>
    <w:rsid w:val="00EC748A"/>
    <w:rsid w:val="00EC7B4D"/>
    <w:rsid w:val="00EC7F14"/>
    <w:rsid w:val="00ED0023"/>
    <w:rsid w:val="00ED02B8"/>
    <w:rsid w:val="00ED0326"/>
    <w:rsid w:val="00ED0464"/>
    <w:rsid w:val="00ED0501"/>
    <w:rsid w:val="00ED0635"/>
    <w:rsid w:val="00ED0A73"/>
    <w:rsid w:val="00ED0ACC"/>
    <w:rsid w:val="00ED0B76"/>
    <w:rsid w:val="00ED0E6B"/>
    <w:rsid w:val="00ED10A2"/>
    <w:rsid w:val="00ED11DF"/>
    <w:rsid w:val="00ED1334"/>
    <w:rsid w:val="00ED15F3"/>
    <w:rsid w:val="00ED2003"/>
    <w:rsid w:val="00ED2FC9"/>
    <w:rsid w:val="00ED321A"/>
    <w:rsid w:val="00ED34B0"/>
    <w:rsid w:val="00ED3AF0"/>
    <w:rsid w:val="00ED3C1A"/>
    <w:rsid w:val="00ED3D22"/>
    <w:rsid w:val="00ED3E25"/>
    <w:rsid w:val="00ED3EC6"/>
    <w:rsid w:val="00ED3F7B"/>
    <w:rsid w:val="00ED40B9"/>
    <w:rsid w:val="00ED445B"/>
    <w:rsid w:val="00ED44C1"/>
    <w:rsid w:val="00ED44CF"/>
    <w:rsid w:val="00ED45A9"/>
    <w:rsid w:val="00ED4E69"/>
    <w:rsid w:val="00ED4EA0"/>
    <w:rsid w:val="00ED4F2D"/>
    <w:rsid w:val="00ED519E"/>
    <w:rsid w:val="00ED5266"/>
    <w:rsid w:val="00ED532D"/>
    <w:rsid w:val="00ED5729"/>
    <w:rsid w:val="00ED5AD8"/>
    <w:rsid w:val="00ED6098"/>
    <w:rsid w:val="00ED65D4"/>
    <w:rsid w:val="00ED65E2"/>
    <w:rsid w:val="00ED669D"/>
    <w:rsid w:val="00ED6813"/>
    <w:rsid w:val="00ED694A"/>
    <w:rsid w:val="00ED6A5A"/>
    <w:rsid w:val="00ED6B9C"/>
    <w:rsid w:val="00ED6FDA"/>
    <w:rsid w:val="00ED6FED"/>
    <w:rsid w:val="00ED74AF"/>
    <w:rsid w:val="00ED7737"/>
    <w:rsid w:val="00ED7961"/>
    <w:rsid w:val="00ED7BCB"/>
    <w:rsid w:val="00ED7C1A"/>
    <w:rsid w:val="00ED7CE9"/>
    <w:rsid w:val="00ED7D3B"/>
    <w:rsid w:val="00ED7DAE"/>
    <w:rsid w:val="00EE01B2"/>
    <w:rsid w:val="00EE07E0"/>
    <w:rsid w:val="00EE0C1B"/>
    <w:rsid w:val="00EE0EE1"/>
    <w:rsid w:val="00EE111D"/>
    <w:rsid w:val="00EE1368"/>
    <w:rsid w:val="00EE17EB"/>
    <w:rsid w:val="00EE18AF"/>
    <w:rsid w:val="00EE1A3A"/>
    <w:rsid w:val="00EE1F44"/>
    <w:rsid w:val="00EE2479"/>
    <w:rsid w:val="00EE24A7"/>
    <w:rsid w:val="00EE2687"/>
    <w:rsid w:val="00EE2927"/>
    <w:rsid w:val="00EE2CB9"/>
    <w:rsid w:val="00EE311E"/>
    <w:rsid w:val="00EE3385"/>
    <w:rsid w:val="00EE3425"/>
    <w:rsid w:val="00EE3441"/>
    <w:rsid w:val="00EE3442"/>
    <w:rsid w:val="00EE35E9"/>
    <w:rsid w:val="00EE3607"/>
    <w:rsid w:val="00EE391D"/>
    <w:rsid w:val="00EE3C3E"/>
    <w:rsid w:val="00EE411B"/>
    <w:rsid w:val="00EE45E6"/>
    <w:rsid w:val="00EE4657"/>
    <w:rsid w:val="00EE4787"/>
    <w:rsid w:val="00EE51CF"/>
    <w:rsid w:val="00EE5384"/>
    <w:rsid w:val="00EE58E5"/>
    <w:rsid w:val="00EE5B22"/>
    <w:rsid w:val="00EE5C3A"/>
    <w:rsid w:val="00EE63E1"/>
    <w:rsid w:val="00EE68B0"/>
    <w:rsid w:val="00EE6AE0"/>
    <w:rsid w:val="00EE7043"/>
    <w:rsid w:val="00EE7286"/>
    <w:rsid w:val="00EE731F"/>
    <w:rsid w:val="00EE73D5"/>
    <w:rsid w:val="00EE73F8"/>
    <w:rsid w:val="00EE746C"/>
    <w:rsid w:val="00EE79A4"/>
    <w:rsid w:val="00EE7DD2"/>
    <w:rsid w:val="00EE7F02"/>
    <w:rsid w:val="00EF00AE"/>
    <w:rsid w:val="00EF01FE"/>
    <w:rsid w:val="00EF02AD"/>
    <w:rsid w:val="00EF06D3"/>
    <w:rsid w:val="00EF0781"/>
    <w:rsid w:val="00EF07DD"/>
    <w:rsid w:val="00EF07E7"/>
    <w:rsid w:val="00EF0D36"/>
    <w:rsid w:val="00EF1050"/>
    <w:rsid w:val="00EF111C"/>
    <w:rsid w:val="00EF1183"/>
    <w:rsid w:val="00EF1297"/>
    <w:rsid w:val="00EF15F8"/>
    <w:rsid w:val="00EF1881"/>
    <w:rsid w:val="00EF1C23"/>
    <w:rsid w:val="00EF201B"/>
    <w:rsid w:val="00EF20C4"/>
    <w:rsid w:val="00EF2588"/>
    <w:rsid w:val="00EF2806"/>
    <w:rsid w:val="00EF2BF6"/>
    <w:rsid w:val="00EF2D23"/>
    <w:rsid w:val="00EF2E03"/>
    <w:rsid w:val="00EF35B6"/>
    <w:rsid w:val="00EF35B8"/>
    <w:rsid w:val="00EF3878"/>
    <w:rsid w:val="00EF3960"/>
    <w:rsid w:val="00EF39B7"/>
    <w:rsid w:val="00EF3D75"/>
    <w:rsid w:val="00EF4206"/>
    <w:rsid w:val="00EF428D"/>
    <w:rsid w:val="00EF461B"/>
    <w:rsid w:val="00EF4977"/>
    <w:rsid w:val="00EF537D"/>
    <w:rsid w:val="00EF5545"/>
    <w:rsid w:val="00EF55E3"/>
    <w:rsid w:val="00EF57F8"/>
    <w:rsid w:val="00EF5860"/>
    <w:rsid w:val="00EF595C"/>
    <w:rsid w:val="00EF5DCC"/>
    <w:rsid w:val="00EF5E2E"/>
    <w:rsid w:val="00EF5E6E"/>
    <w:rsid w:val="00EF659A"/>
    <w:rsid w:val="00EF6768"/>
    <w:rsid w:val="00EF68FA"/>
    <w:rsid w:val="00EF690D"/>
    <w:rsid w:val="00EF6B2E"/>
    <w:rsid w:val="00EF6E43"/>
    <w:rsid w:val="00EF6F28"/>
    <w:rsid w:val="00EF74B7"/>
    <w:rsid w:val="00EF7E46"/>
    <w:rsid w:val="00EF7EAF"/>
    <w:rsid w:val="00F00327"/>
    <w:rsid w:val="00F0058C"/>
    <w:rsid w:val="00F005CC"/>
    <w:rsid w:val="00F009C2"/>
    <w:rsid w:val="00F01214"/>
    <w:rsid w:val="00F0138B"/>
    <w:rsid w:val="00F01628"/>
    <w:rsid w:val="00F018C6"/>
    <w:rsid w:val="00F01B9C"/>
    <w:rsid w:val="00F02745"/>
    <w:rsid w:val="00F0278C"/>
    <w:rsid w:val="00F032DC"/>
    <w:rsid w:val="00F03866"/>
    <w:rsid w:val="00F0427B"/>
    <w:rsid w:val="00F042E3"/>
    <w:rsid w:val="00F048FA"/>
    <w:rsid w:val="00F04911"/>
    <w:rsid w:val="00F04F2B"/>
    <w:rsid w:val="00F04F2E"/>
    <w:rsid w:val="00F05395"/>
    <w:rsid w:val="00F05A53"/>
    <w:rsid w:val="00F05AA2"/>
    <w:rsid w:val="00F05B41"/>
    <w:rsid w:val="00F05B9B"/>
    <w:rsid w:val="00F05D34"/>
    <w:rsid w:val="00F064B1"/>
    <w:rsid w:val="00F06586"/>
    <w:rsid w:val="00F065A8"/>
    <w:rsid w:val="00F069C2"/>
    <w:rsid w:val="00F06A77"/>
    <w:rsid w:val="00F06EB2"/>
    <w:rsid w:val="00F0705E"/>
    <w:rsid w:val="00F07509"/>
    <w:rsid w:val="00F07561"/>
    <w:rsid w:val="00F07724"/>
    <w:rsid w:val="00F0783F"/>
    <w:rsid w:val="00F07892"/>
    <w:rsid w:val="00F0791E"/>
    <w:rsid w:val="00F10122"/>
    <w:rsid w:val="00F10718"/>
    <w:rsid w:val="00F1098B"/>
    <w:rsid w:val="00F10A75"/>
    <w:rsid w:val="00F10BDC"/>
    <w:rsid w:val="00F110AD"/>
    <w:rsid w:val="00F11A2D"/>
    <w:rsid w:val="00F11B51"/>
    <w:rsid w:val="00F11C2F"/>
    <w:rsid w:val="00F11CF8"/>
    <w:rsid w:val="00F11F03"/>
    <w:rsid w:val="00F12032"/>
    <w:rsid w:val="00F122AD"/>
    <w:rsid w:val="00F1233F"/>
    <w:rsid w:val="00F12545"/>
    <w:rsid w:val="00F12892"/>
    <w:rsid w:val="00F12CB3"/>
    <w:rsid w:val="00F12D51"/>
    <w:rsid w:val="00F12F54"/>
    <w:rsid w:val="00F13033"/>
    <w:rsid w:val="00F1387E"/>
    <w:rsid w:val="00F1398B"/>
    <w:rsid w:val="00F13B19"/>
    <w:rsid w:val="00F13D47"/>
    <w:rsid w:val="00F13DED"/>
    <w:rsid w:val="00F140DB"/>
    <w:rsid w:val="00F1431C"/>
    <w:rsid w:val="00F14382"/>
    <w:rsid w:val="00F145CC"/>
    <w:rsid w:val="00F14649"/>
    <w:rsid w:val="00F1500D"/>
    <w:rsid w:val="00F150B6"/>
    <w:rsid w:val="00F152FA"/>
    <w:rsid w:val="00F15340"/>
    <w:rsid w:val="00F155ED"/>
    <w:rsid w:val="00F156D6"/>
    <w:rsid w:val="00F15A30"/>
    <w:rsid w:val="00F15DAD"/>
    <w:rsid w:val="00F15F14"/>
    <w:rsid w:val="00F163D9"/>
    <w:rsid w:val="00F1650E"/>
    <w:rsid w:val="00F16B14"/>
    <w:rsid w:val="00F16F09"/>
    <w:rsid w:val="00F170E6"/>
    <w:rsid w:val="00F171EC"/>
    <w:rsid w:val="00F17387"/>
    <w:rsid w:val="00F17463"/>
    <w:rsid w:val="00F17542"/>
    <w:rsid w:val="00F1799D"/>
    <w:rsid w:val="00F17CE3"/>
    <w:rsid w:val="00F17DEB"/>
    <w:rsid w:val="00F20125"/>
    <w:rsid w:val="00F20348"/>
    <w:rsid w:val="00F20D8E"/>
    <w:rsid w:val="00F2164B"/>
    <w:rsid w:val="00F2168D"/>
    <w:rsid w:val="00F216F2"/>
    <w:rsid w:val="00F2223C"/>
    <w:rsid w:val="00F22249"/>
    <w:rsid w:val="00F22446"/>
    <w:rsid w:val="00F2265E"/>
    <w:rsid w:val="00F22690"/>
    <w:rsid w:val="00F22747"/>
    <w:rsid w:val="00F22886"/>
    <w:rsid w:val="00F22AB9"/>
    <w:rsid w:val="00F22BCD"/>
    <w:rsid w:val="00F2309A"/>
    <w:rsid w:val="00F23348"/>
    <w:rsid w:val="00F235C7"/>
    <w:rsid w:val="00F23A04"/>
    <w:rsid w:val="00F23C3F"/>
    <w:rsid w:val="00F24202"/>
    <w:rsid w:val="00F2425B"/>
    <w:rsid w:val="00F2435A"/>
    <w:rsid w:val="00F24696"/>
    <w:rsid w:val="00F247C9"/>
    <w:rsid w:val="00F257C5"/>
    <w:rsid w:val="00F2583C"/>
    <w:rsid w:val="00F25A0C"/>
    <w:rsid w:val="00F25E19"/>
    <w:rsid w:val="00F25F49"/>
    <w:rsid w:val="00F25F8B"/>
    <w:rsid w:val="00F262E3"/>
    <w:rsid w:val="00F2632A"/>
    <w:rsid w:val="00F26383"/>
    <w:rsid w:val="00F2670D"/>
    <w:rsid w:val="00F269D4"/>
    <w:rsid w:val="00F27388"/>
    <w:rsid w:val="00F273A0"/>
    <w:rsid w:val="00F27986"/>
    <w:rsid w:val="00F27C0C"/>
    <w:rsid w:val="00F27C7C"/>
    <w:rsid w:val="00F27D09"/>
    <w:rsid w:val="00F30695"/>
    <w:rsid w:val="00F308FA"/>
    <w:rsid w:val="00F309DF"/>
    <w:rsid w:val="00F30A4D"/>
    <w:rsid w:val="00F30DE6"/>
    <w:rsid w:val="00F31194"/>
    <w:rsid w:val="00F31294"/>
    <w:rsid w:val="00F312A5"/>
    <w:rsid w:val="00F31B44"/>
    <w:rsid w:val="00F31CEA"/>
    <w:rsid w:val="00F31D92"/>
    <w:rsid w:val="00F32DDA"/>
    <w:rsid w:val="00F339B1"/>
    <w:rsid w:val="00F33D7E"/>
    <w:rsid w:val="00F33E11"/>
    <w:rsid w:val="00F347AE"/>
    <w:rsid w:val="00F347C6"/>
    <w:rsid w:val="00F34A00"/>
    <w:rsid w:val="00F353B2"/>
    <w:rsid w:val="00F35A5B"/>
    <w:rsid w:val="00F35B3A"/>
    <w:rsid w:val="00F35E07"/>
    <w:rsid w:val="00F36290"/>
    <w:rsid w:val="00F369BD"/>
    <w:rsid w:val="00F36B5A"/>
    <w:rsid w:val="00F36C0E"/>
    <w:rsid w:val="00F36DE1"/>
    <w:rsid w:val="00F36FAA"/>
    <w:rsid w:val="00F378B6"/>
    <w:rsid w:val="00F37FBF"/>
    <w:rsid w:val="00F4024E"/>
    <w:rsid w:val="00F402B8"/>
    <w:rsid w:val="00F4082A"/>
    <w:rsid w:val="00F40D3E"/>
    <w:rsid w:val="00F40EE1"/>
    <w:rsid w:val="00F411CC"/>
    <w:rsid w:val="00F41257"/>
    <w:rsid w:val="00F4134F"/>
    <w:rsid w:val="00F415F8"/>
    <w:rsid w:val="00F418A2"/>
    <w:rsid w:val="00F41916"/>
    <w:rsid w:val="00F41A8F"/>
    <w:rsid w:val="00F41F46"/>
    <w:rsid w:val="00F436AC"/>
    <w:rsid w:val="00F4391A"/>
    <w:rsid w:val="00F43B78"/>
    <w:rsid w:val="00F43B9E"/>
    <w:rsid w:val="00F43C9A"/>
    <w:rsid w:val="00F43F3B"/>
    <w:rsid w:val="00F440B3"/>
    <w:rsid w:val="00F44425"/>
    <w:rsid w:val="00F44656"/>
    <w:rsid w:val="00F446DA"/>
    <w:rsid w:val="00F448BD"/>
    <w:rsid w:val="00F4492C"/>
    <w:rsid w:val="00F44B7B"/>
    <w:rsid w:val="00F44BEC"/>
    <w:rsid w:val="00F44E5D"/>
    <w:rsid w:val="00F453AC"/>
    <w:rsid w:val="00F45517"/>
    <w:rsid w:val="00F45CD2"/>
    <w:rsid w:val="00F464BD"/>
    <w:rsid w:val="00F464D9"/>
    <w:rsid w:val="00F46AF9"/>
    <w:rsid w:val="00F46C2C"/>
    <w:rsid w:val="00F46DB6"/>
    <w:rsid w:val="00F46EB9"/>
    <w:rsid w:val="00F473B6"/>
    <w:rsid w:val="00F4780A"/>
    <w:rsid w:val="00F47E32"/>
    <w:rsid w:val="00F47EAF"/>
    <w:rsid w:val="00F47EBD"/>
    <w:rsid w:val="00F5081A"/>
    <w:rsid w:val="00F50A72"/>
    <w:rsid w:val="00F50BC7"/>
    <w:rsid w:val="00F50C41"/>
    <w:rsid w:val="00F50D6B"/>
    <w:rsid w:val="00F50ECE"/>
    <w:rsid w:val="00F510E4"/>
    <w:rsid w:val="00F5188A"/>
    <w:rsid w:val="00F51A91"/>
    <w:rsid w:val="00F51ADA"/>
    <w:rsid w:val="00F51B76"/>
    <w:rsid w:val="00F5205A"/>
    <w:rsid w:val="00F520C0"/>
    <w:rsid w:val="00F523B1"/>
    <w:rsid w:val="00F5279A"/>
    <w:rsid w:val="00F527CF"/>
    <w:rsid w:val="00F52D8C"/>
    <w:rsid w:val="00F52ED8"/>
    <w:rsid w:val="00F530BB"/>
    <w:rsid w:val="00F53286"/>
    <w:rsid w:val="00F533DE"/>
    <w:rsid w:val="00F535DF"/>
    <w:rsid w:val="00F536D5"/>
    <w:rsid w:val="00F536D8"/>
    <w:rsid w:val="00F536F4"/>
    <w:rsid w:val="00F53834"/>
    <w:rsid w:val="00F5388B"/>
    <w:rsid w:val="00F53C63"/>
    <w:rsid w:val="00F542F3"/>
    <w:rsid w:val="00F543E8"/>
    <w:rsid w:val="00F5454E"/>
    <w:rsid w:val="00F5482C"/>
    <w:rsid w:val="00F54DFE"/>
    <w:rsid w:val="00F54EF8"/>
    <w:rsid w:val="00F54F42"/>
    <w:rsid w:val="00F5549D"/>
    <w:rsid w:val="00F5573C"/>
    <w:rsid w:val="00F55784"/>
    <w:rsid w:val="00F55E8E"/>
    <w:rsid w:val="00F560C5"/>
    <w:rsid w:val="00F56421"/>
    <w:rsid w:val="00F566ED"/>
    <w:rsid w:val="00F569DF"/>
    <w:rsid w:val="00F56FE3"/>
    <w:rsid w:val="00F5710F"/>
    <w:rsid w:val="00F5794D"/>
    <w:rsid w:val="00F57DEC"/>
    <w:rsid w:val="00F6005B"/>
    <w:rsid w:val="00F60136"/>
    <w:rsid w:val="00F6026D"/>
    <w:rsid w:val="00F603A7"/>
    <w:rsid w:val="00F604D8"/>
    <w:rsid w:val="00F61449"/>
    <w:rsid w:val="00F614EF"/>
    <w:rsid w:val="00F61AE4"/>
    <w:rsid w:val="00F61C5C"/>
    <w:rsid w:val="00F61EC5"/>
    <w:rsid w:val="00F61F2D"/>
    <w:rsid w:val="00F61FD3"/>
    <w:rsid w:val="00F62284"/>
    <w:rsid w:val="00F624B3"/>
    <w:rsid w:val="00F62640"/>
    <w:rsid w:val="00F62EF5"/>
    <w:rsid w:val="00F6317F"/>
    <w:rsid w:val="00F631B6"/>
    <w:rsid w:val="00F637CF"/>
    <w:rsid w:val="00F63EC3"/>
    <w:rsid w:val="00F64017"/>
    <w:rsid w:val="00F64213"/>
    <w:rsid w:val="00F642A3"/>
    <w:rsid w:val="00F645CB"/>
    <w:rsid w:val="00F64832"/>
    <w:rsid w:val="00F6494F"/>
    <w:rsid w:val="00F650F6"/>
    <w:rsid w:val="00F65351"/>
    <w:rsid w:val="00F65ABF"/>
    <w:rsid w:val="00F65DC5"/>
    <w:rsid w:val="00F66204"/>
    <w:rsid w:val="00F663FA"/>
    <w:rsid w:val="00F669ED"/>
    <w:rsid w:val="00F66B81"/>
    <w:rsid w:val="00F66FFA"/>
    <w:rsid w:val="00F67307"/>
    <w:rsid w:val="00F67318"/>
    <w:rsid w:val="00F675E1"/>
    <w:rsid w:val="00F677D8"/>
    <w:rsid w:val="00F678CF"/>
    <w:rsid w:val="00F678F6"/>
    <w:rsid w:val="00F67BE7"/>
    <w:rsid w:val="00F67D04"/>
    <w:rsid w:val="00F67EBE"/>
    <w:rsid w:val="00F67EBF"/>
    <w:rsid w:val="00F67FEF"/>
    <w:rsid w:val="00F700F4"/>
    <w:rsid w:val="00F700F6"/>
    <w:rsid w:val="00F70329"/>
    <w:rsid w:val="00F704ED"/>
    <w:rsid w:val="00F707EF"/>
    <w:rsid w:val="00F70B54"/>
    <w:rsid w:val="00F70E2B"/>
    <w:rsid w:val="00F71058"/>
    <w:rsid w:val="00F7105A"/>
    <w:rsid w:val="00F71190"/>
    <w:rsid w:val="00F711C7"/>
    <w:rsid w:val="00F71496"/>
    <w:rsid w:val="00F71729"/>
    <w:rsid w:val="00F71C93"/>
    <w:rsid w:val="00F71DC1"/>
    <w:rsid w:val="00F71FAF"/>
    <w:rsid w:val="00F723AF"/>
    <w:rsid w:val="00F72CA5"/>
    <w:rsid w:val="00F72E93"/>
    <w:rsid w:val="00F73124"/>
    <w:rsid w:val="00F73200"/>
    <w:rsid w:val="00F73802"/>
    <w:rsid w:val="00F73A1E"/>
    <w:rsid w:val="00F73A3D"/>
    <w:rsid w:val="00F73B7A"/>
    <w:rsid w:val="00F746FD"/>
    <w:rsid w:val="00F74910"/>
    <w:rsid w:val="00F74ACF"/>
    <w:rsid w:val="00F74EA2"/>
    <w:rsid w:val="00F75294"/>
    <w:rsid w:val="00F75555"/>
    <w:rsid w:val="00F75B73"/>
    <w:rsid w:val="00F75CD1"/>
    <w:rsid w:val="00F760EB"/>
    <w:rsid w:val="00F76128"/>
    <w:rsid w:val="00F764A1"/>
    <w:rsid w:val="00F76686"/>
    <w:rsid w:val="00F76902"/>
    <w:rsid w:val="00F76A2A"/>
    <w:rsid w:val="00F76A81"/>
    <w:rsid w:val="00F76C09"/>
    <w:rsid w:val="00F77036"/>
    <w:rsid w:val="00F77239"/>
    <w:rsid w:val="00F77623"/>
    <w:rsid w:val="00F7764B"/>
    <w:rsid w:val="00F8009E"/>
    <w:rsid w:val="00F8037F"/>
    <w:rsid w:val="00F80710"/>
    <w:rsid w:val="00F80880"/>
    <w:rsid w:val="00F80A1F"/>
    <w:rsid w:val="00F815A8"/>
    <w:rsid w:val="00F819FD"/>
    <w:rsid w:val="00F81A01"/>
    <w:rsid w:val="00F81BBD"/>
    <w:rsid w:val="00F82223"/>
    <w:rsid w:val="00F82454"/>
    <w:rsid w:val="00F824F3"/>
    <w:rsid w:val="00F8269E"/>
    <w:rsid w:val="00F82702"/>
    <w:rsid w:val="00F827B8"/>
    <w:rsid w:val="00F82870"/>
    <w:rsid w:val="00F82E09"/>
    <w:rsid w:val="00F833B7"/>
    <w:rsid w:val="00F8351C"/>
    <w:rsid w:val="00F83522"/>
    <w:rsid w:val="00F83C15"/>
    <w:rsid w:val="00F841C1"/>
    <w:rsid w:val="00F84739"/>
    <w:rsid w:val="00F84789"/>
    <w:rsid w:val="00F84B21"/>
    <w:rsid w:val="00F84D06"/>
    <w:rsid w:val="00F84F2E"/>
    <w:rsid w:val="00F84F8C"/>
    <w:rsid w:val="00F851EF"/>
    <w:rsid w:val="00F852FC"/>
    <w:rsid w:val="00F855A8"/>
    <w:rsid w:val="00F85785"/>
    <w:rsid w:val="00F858AB"/>
    <w:rsid w:val="00F8599F"/>
    <w:rsid w:val="00F859D1"/>
    <w:rsid w:val="00F859DA"/>
    <w:rsid w:val="00F85BBE"/>
    <w:rsid w:val="00F85E2E"/>
    <w:rsid w:val="00F85E6F"/>
    <w:rsid w:val="00F85FD4"/>
    <w:rsid w:val="00F861D1"/>
    <w:rsid w:val="00F866EC"/>
    <w:rsid w:val="00F86939"/>
    <w:rsid w:val="00F86D7D"/>
    <w:rsid w:val="00F86E45"/>
    <w:rsid w:val="00F87332"/>
    <w:rsid w:val="00F873BC"/>
    <w:rsid w:val="00F87465"/>
    <w:rsid w:val="00F87538"/>
    <w:rsid w:val="00F8783B"/>
    <w:rsid w:val="00F87A3F"/>
    <w:rsid w:val="00F87BD8"/>
    <w:rsid w:val="00F87D06"/>
    <w:rsid w:val="00F87F62"/>
    <w:rsid w:val="00F9011B"/>
    <w:rsid w:val="00F90561"/>
    <w:rsid w:val="00F90682"/>
    <w:rsid w:val="00F9078D"/>
    <w:rsid w:val="00F90B8B"/>
    <w:rsid w:val="00F91387"/>
    <w:rsid w:val="00F91BD6"/>
    <w:rsid w:val="00F91C67"/>
    <w:rsid w:val="00F92761"/>
    <w:rsid w:val="00F9284D"/>
    <w:rsid w:val="00F92C02"/>
    <w:rsid w:val="00F92C39"/>
    <w:rsid w:val="00F92CB3"/>
    <w:rsid w:val="00F92FDF"/>
    <w:rsid w:val="00F930E2"/>
    <w:rsid w:val="00F931B8"/>
    <w:rsid w:val="00F93989"/>
    <w:rsid w:val="00F93A71"/>
    <w:rsid w:val="00F93F29"/>
    <w:rsid w:val="00F93F95"/>
    <w:rsid w:val="00F940E0"/>
    <w:rsid w:val="00F944B3"/>
    <w:rsid w:val="00F94511"/>
    <w:rsid w:val="00F945C0"/>
    <w:rsid w:val="00F94977"/>
    <w:rsid w:val="00F94A19"/>
    <w:rsid w:val="00F960A9"/>
    <w:rsid w:val="00F9636E"/>
    <w:rsid w:val="00F96AF1"/>
    <w:rsid w:val="00F96DBC"/>
    <w:rsid w:val="00F970FE"/>
    <w:rsid w:val="00F97235"/>
    <w:rsid w:val="00F9728E"/>
    <w:rsid w:val="00FA0B09"/>
    <w:rsid w:val="00FA11FB"/>
    <w:rsid w:val="00FA13CC"/>
    <w:rsid w:val="00FA13E9"/>
    <w:rsid w:val="00FA158D"/>
    <w:rsid w:val="00FA1665"/>
    <w:rsid w:val="00FA20FF"/>
    <w:rsid w:val="00FA296A"/>
    <w:rsid w:val="00FA2A17"/>
    <w:rsid w:val="00FA32DF"/>
    <w:rsid w:val="00FA3696"/>
    <w:rsid w:val="00FA3780"/>
    <w:rsid w:val="00FA3D43"/>
    <w:rsid w:val="00FA4031"/>
    <w:rsid w:val="00FA4A66"/>
    <w:rsid w:val="00FA4DF6"/>
    <w:rsid w:val="00FA5464"/>
    <w:rsid w:val="00FA5468"/>
    <w:rsid w:val="00FA54BC"/>
    <w:rsid w:val="00FA5C57"/>
    <w:rsid w:val="00FA5F32"/>
    <w:rsid w:val="00FA611F"/>
    <w:rsid w:val="00FA6835"/>
    <w:rsid w:val="00FA6E7C"/>
    <w:rsid w:val="00FA6FA5"/>
    <w:rsid w:val="00FA74D9"/>
    <w:rsid w:val="00FA7841"/>
    <w:rsid w:val="00FA7ACB"/>
    <w:rsid w:val="00FA7D26"/>
    <w:rsid w:val="00FA7D63"/>
    <w:rsid w:val="00FB0A35"/>
    <w:rsid w:val="00FB0DFF"/>
    <w:rsid w:val="00FB0FBC"/>
    <w:rsid w:val="00FB18FA"/>
    <w:rsid w:val="00FB1BC8"/>
    <w:rsid w:val="00FB2178"/>
    <w:rsid w:val="00FB2288"/>
    <w:rsid w:val="00FB22B6"/>
    <w:rsid w:val="00FB22CE"/>
    <w:rsid w:val="00FB2659"/>
    <w:rsid w:val="00FB296C"/>
    <w:rsid w:val="00FB29E0"/>
    <w:rsid w:val="00FB314B"/>
    <w:rsid w:val="00FB3187"/>
    <w:rsid w:val="00FB31A7"/>
    <w:rsid w:val="00FB344E"/>
    <w:rsid w:val="00FB34A6"/>
    <w:rsid w:val="00FB354F"/>
    <w:rsid w:val="00FB39E8"/>
    <w:rsid w:val="00FB3DAB"/>
    <w:rsid w:val="00FB3EEC"/>
    <w:rsid w:val="00FB3F8B"/>
    <w:rsid w:val="00FB4473"/>
    <w:rsid w:val="00FB45FC"/>
    <w:rsid w:val="00FB489A"/>
    <w:rsid w:val="00FB4927"/>
    <w:rsid w:val="00FB4A0E"/>
    <w:rsid w:val="00FB4AC2"/>
    <w:rsid w:val="00FB4BF8"/>
    <w:rsid w:val="00FB4CDB"/>
    <w:rsid w:val="00FB515F"/>
    <w:rsid w:val="00FB5382"/>
    <w:rsid w:val="00FB53C1"/>
    <w:rsid w:val="00FB5407"/>
    <w:rsid w:val="00FB5679"/>
    <w:rsid w:val="00FB58C2"/>
    <w:rsid w:val="00FB5A6A"/>
    <w:rsid w:val="00FB5D32"/>
    <w:rsid w:val="00FB5FFC"/>
    <w:rsid w:val="00FB62B0"/>
    <w:rsid w:val="00FB6321"/>
    <w:rsid w:val="00FB6797"/>
    <w:rsid w:val="00FB6F52"/>
    <w:rsid w:val="00FB7311"/>
    <w:rsid w:val="00FB7625"/>
    <w:rsid w:val="00FB793F"/>
    <w:rsid w:val="00FB7AAA"/>
    <w:rsid w:val="00FB7F01"/>
    <w:rsid w:val="00FC0368"/>
    <w:rsid w:val="00FC0396"/>
    <w:rsid w:val="00FC0452"/>
    <w:rsid w:val="00FC06D6"/>
    <w:rsid w:val="00FC0EB6"/>
    <w:rsid w:val="00FC0F47"/>
    <w:rsid w:val="00FC1076"/>
    <w:rsid w:val="00FC126A"/>
    <w:rsid w:val="00FC146B"/>
    <w:rsid w:val="00FC253C"/>
    <w:rsid w:val="00FC25C6"/>
    <w:rsid w:val="00FC272A"/>
    <w:rsid w:val="00FC2912"/>
    <w:rsid w:val="00FC2F02"/>
    <w:rsid w:val="00FC3055"/>
    <w:rsid w:val="00FC328B"/>
    <w:rsid w:val="00FC32EF"/>
    <w:rsid w:val="00FC3518"/>
    <w:rsid w:val="00FC37A0"/>
    <w:rsid w:val="00FC3B24"/>
    <w:rsid w:val="00FC3E24"/>
    <w:rsid w:val="00FC3F53"/>
    <w:rsid w:val="00FC425B"/>
    <w:rsid w:val="00FC45C6"/>
    <w:rsid w:val="00FC499E"/>
    <w:rsid w:val="00FC4AD0"/>
    <w:rsid w:val="00FC4C5B"/>
    <w:rsid w:val="00FC4FB3"/>
    <w:rsid w:val="00FC51D1"/>
    <w:rsid w:val="00FC5406"/>
    <w:rsid w:val="00FC551D"/>
    <w:rsid w:val="00FC5653"/>
    <w:rsid w:val="00FC5812"/>
    <w:rsid w:val="00FC61E8"/>
    <w:rsid w:val="00FC6200"/>
    <w:rsid w:val="00FC6338"/>
    <w:rsid w:val="00FC6371"/>
    <w:rsid w:val="00FC67B3"/>
    <w:rsid w:val="00FC6A36"/>
    <w:rsid w:val="00FC6AF8"/>
    <w:rsid w:val="00FC6B6F"/>
    <w:rsid w:val="00FC6CBA"/>
    <w:rsid w:val="00FC6FA2"/>
    <w:rsid w:val="00FC72EF"/>
    <w:rsid w:val="00FC740E"/>
    <w:rsid w:val="00FC763B"/>
    <w:rsid w:val="00FC77B5"/>
    <w:rsid w:val="00FC7978"/>
    <w:rsid w:val="00FC7AD2"/>
    <w:rsid w:val="00FC7DC2"/>
    <w:rsid w:val="00FD0375"/>
    <w:rsid w:val="00FD0CE2"/>
    <w:rsid w:val="00FD0F9A"/>
    <w:rsid w:val="00FD1075"/>
    <w:rsid w:val="00FD1128"/>
    <w:rsid w:val="00FD147B"/>
    <w:rsid w:val="00FD1667"/>
    <w:rsid w:val="00FD1983"/>
    <w:rsid w:val="00FD1B31"/>
    <w:rsid w:val="00FD1D70"/>
    <w:rsid w:val="00FD230D"/>
    <w:rsid w:val="00FD2566"/>
    <w:rsid w:val="00FD28D5"/>
    <w:rsid w:val="00FD2A5B"/>
    <w:rsid w:val="00FD30FB"/>
    <w:rsid w:val="00FD39BC"/>
    <w:rsid w:val="00FD42D9"/>
    <w:rsid w:val="00FD45E7"/>
    <w:rsid w:val="00FD4917"/>
    <w:rsid w:val="00FD4BFD"/>
    <w:rsid w:val="00FD4F0B"/>
    <w:rsid w:val="00FD59BC"/>
    <w:rsid w:val="00FD5CD7"/>
    <w:rsid w:val="00FD640D"/>
    <w:rsid w:val="00FD6730"/>
    <w:rsid w:val="00FD68E2"/>
    <w:rsid w:val="00FD7052"/>
    <w:rsid w:val="00FD79A4"/>
    <w:rsid w:val="00FD7A71"/>
    <w:rsid w:val="00FD7B45"/>
    <w:rsid w:val="00FD7F71"/>
    <w:rsid w:val="00FE018C"/>
    <w:rsid w:val="00FE0378"/>
    <w:rsid w:val="00FE0C27"/>
    <w:rsid w:val="00FE0D3B"/>
    <w:rsid w:val="00FE0ED6"/>
    <w:rsid w:val="00FE14F0"/>
    <w:rsid w:val="00FE155D"/>
    <w:rsid w:val="00FE1618"/>
    <w:rsid w:val="00FE173B"/>
    <w:rsid w:val="00FE1E36"/>
    <w:rsid w:val="00FE20BB"/>
    <w:rsid w:val="00FE2161"/>
    <w:rsid w:val="00FE23EA"/>
    <w:rsid w:val="00FE2AEF"/>
    <w:rsid w:val="00FE2D54"/>
    <w:rsid w:val="00FE2EB1"/>
    <w:rsid w:val="00FE2EE8"/>
    <w:rsid w:val="00FE397E"/>
    <w:rsid w:val="00FE408A"/>
    <w:rsid w:val="00FE427A"/>
    <w:rsid w:val="00FE431F"/>
    <w:rsid w:val="00FE49DA"/>
    <w:rsid w:val="00FE4B7F"/>
    <w:rsid w:val="00FE4C8E"/>
    <w:rsid w:val="00FE4EE8"/>
    <w:rsid w:val="00FE506D"/>
    <w:rsid w:val="00FE5334"/>
    <w:rsid w:val="00FE58F9"/>
    <w:rsid w:val="00FE5933"/>
    <w:rsid w:val="00FE66AB"/>
    <w:rsid w:val="00FE6787"/>
    <w:rsid w:val="00FE68AD"/>
    <w:rsid w:val="00FE6908"/>
    <w:rsid w:val="00FE6AE8"/>
    <w:rsid w:val="00FE6BA3"/>
    <w:rsid w:val="00FE7169"/>
    <w:rsid w:val="00FE746A"/>
    <w:rsid w:val="00FE7B68"/>
    <w:rsid w:val="00FF0092"/>
    <w:rsid w:val="00FF01AA"/>
    <w:rsid w:val="00FF03F0"/>
    <w:rsid w:val="00FF07A1"/>
    <w:rsid w:val="00FF0A1B"/>
    <w:rsid w:val="00FF0AD1"/>
    <w:rsid w:val="00FF0B0F"/>
    <w:rsid w:val="00FF0BDE"/>
    <w:rsid w:val="00FF0C55"/>
    <w:rsid w:val="00FF0F03"/>
    <w:rsid w:val="00FF1543"/>
    <w:rsid w:val="00FF161C"/>
    <w:rsid w:val="00FF17D7"/>
    <w:rsid w:val="00FF1EE5"/>
    <w:rsid w:val="00FF21D3"/>
    <w:rsid w:val="00FF24D1"/>
    <w:rsid w:val="00FF283C"/>
    <w:rsid w:val="00FF2AAB"/>
    <w:rsid w:val="00FF2EE2"/>
    <w:rsid w:val="00FF2FC2"/>
    <w:rsid w:val="00FF3102"/>
    <w:rsid w:val="00FF3A2E"/>
    <w:rsid w:val="00FF4050"/>
    <w:rsid w:val="00FF4308"/>
    <w:rsid w:val="00FF445C"/>
    <w:rsid w:val="00FF44A3"/>
    <w:rsid w:val="00FF496B"/>
    <w:rsid w:val="00FF4A46"/>
    <w:rsid w:val="00FF4DBF"/>
    <w:rsid w:val="00FF4FD6"/>
    <w:rsid w:val="00FF505F"/>
    <w:rsid w:val="00FF50EF"/>
    <w:rsid w:val="00FF53A7"/>
    <w:rsid w:val="00FF567E"/>
    <w:rsid w:val="00FF604F"/>
    <w:rsid w:val="00FF649A"/>
    <w:rsid w:val="00FF66FB"/>
    <w:rsid w:val="00FF6820"/>
    <w:rsid w:val="00FF69E3"/>
    <w:rsid w:val="00FF6B9A"/>
    <w:rsid w:val="00FF6C45"/>
    <w:rsid w:val="00FF70DB"/>
    <w:rsid w:val="00FF7164"/>
    <w:rsid w:val="00FF7268"/>
    <w:rsid w:val="00FF744D"/>
    <w:rsid w:val="00FF74E5"/>
    <w:rsid w:val="00FF792D"/>
    <w:rsid w:val="00FF7B07"/>
    <w:rsid w:val="00FF7C03"/>
    <w:rsid w:val="00FF7CD5"/>
    <w:rsid w:val="00FF7F16"/>
    <w:rsid w:val="00FF7F19"/>
  </w:rsids>
  <m:mathPr>
    <m:mathFont m:val="Cambria Math"/>
    <m:brkBin m:val="before"/>
    <m:brkBinSub m:val="--"/>
    <m:smallFrac m:val="0"/>
    <m:dispDef/>
    <m:lMargin m:val="0"/>
    <m:rMargin m:val="0"/>
    <m:defJc m:val="centerGroup"/>
    <m:wrapIndent m:val="1440"/>
    <m:intLim m:val="subSup"/>
    <m:naryLim m:val="undOvr"/>
  </m:mathPr>
  <w:themeFontLang w:val="en-US" w:eastAsia="zh-CN" w:bidi="ar-SA"/>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16B08BE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szCs w:val="22"/>
        <w:lang w:val="en-US" w:eastAsia="en-US" w:bidi="ar-SA"/>
      </w:rPr>
    </w:rPrDefault>
    <w:pPrDefault>
      <w:pPr>
        <w:spacing w:after="200" w:line="276" w:lineRule="auto"/>
      </w:pPr>
    </w:pPrDefault>
  </w:docDefaults>
  <w:latentStyles w:defLockedState="0" w:defUIPriority="99" w:defSemiHidden="0" w:defUnhideWhenUsed="0" w:defQFormat="0" w:count="371">
    <w:lsdException w:name="Normal" w:uiPriority="0" w:qFormat="1"/>
    <w:lsdException w:name="heading 1" w:uiPriority="0" w:qFormat="1"/>
    <w:lsdException w:name="heading 2" w:semiHidden="1" w:uiPriority="0" w:unhideWhenUsed="1" w:qFormat="1"/>
    <w:lsdException w:name="heading 3" w:semiHidden="1" w:uiPriority="0" w:unhideWhenUsed="1" w:qFormat="1"/>
    <w:lsdException w:name="heading 4" w:semiHidden="1" w:uiPriority="0" w:unhideWhenUsed="1" w:qFormat="1"/>
    <w:lsdException w:name="heading 5" w:semiHidden="1" w:uiPriority="0" w:unhideWhenUsed="1" w:qFormat="1"/>
    <w:lsdException w:name="heading 6" w:semiHidden="1" w:uiPriority="0" w:unhideWhenUsed="1" w:qFormat="1"/>
    <w:lsdException w:name="heading 7" w:semiHidden="1" w:uiPriority="0" w:unhideWhenUsed="1" w:qFormat="1"/>
    <w:lsdException w:name="heading 8" w:semiHidden="1" w:uiPriority="0" w:unhideWhenUsed="1" w:qFormat="1"/>
    <w:lsdException w:name="heading 9" w:semiHidden="1" w:uiPriority="0" w:unhideWhenUsed="1" w:qFormat="1"/>
    <w:lsdException w:name="index 1" w:semiHidden="1" w:uiPriority="0"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qFormat="1"/>
    <w:lsdException w:name="toc 2" w:semiHidden="1" w:uiPriority="39" w:unhideWhenUsed="1" w:qFormat="1"/>
    <w:lsdException w:name="toc 3" w:semiHidden="1" w:uiPriority="39" w:unhideWhenUsed="1" w:qFormat="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iPriority="0" w:unhideWhenUsed="1"/>
    <w:lsdException w:name="header" w:semiHidden="1" w:uiPriority="0" w:unhideWhenUsed="1"/>
    <w:lsdException w:name="footer" w:semiHidden="1" w:unhideWhenUsed="1"/>
    <w:lsdException w:name="index heading" w:semiHidden="1" w:unhideWhenUsed="1"/>
    <w:lsdException w:name="caption"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qFormat="1"/>
    <w:lsdException w:name="annotation reference" w:semiHidden="1" w:uiPriority="0" w:unhideWhenUsed="1"/>
    <w:lsdException w:name="line number" w:semiHidden="1" w:unhideWhenUsed="1"/>
    <w:lsdException w:name="page number" w:semiHidden="1" w:uiPriority="0" w:unhideWhenUsed="1"/>
    <w:lsdException w:name="endnote reference" w:semiHidden="1" w:uiPriority="0" w:unhideWhenUsed="1"/>
    <w:lsdException w:name="endnote text" w:semiHidden="1" w:uiPriority="0" w:unhideWhenUsed="1"/>
    <w:lsdException w:name="table of authorities" w:semiHidden="1" w:unhideWhenUsed="1"/>
    <w:lsdException w:name="macro" w:semiHidden="1" w:unhideWhenUsed="1"/>
    <w:lsdException w:name="toa heading" w:semiHidden="1" w:uiPriority="0"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iPriority="0"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iPriority="0" w:unhideWhenUsed="1"/>
    <w:lsdException w:name="Strong" w:uiPriority="0" w:qFormat="1"/>
    <w:lsdException w:name="Emphasis" w:uiPriority="0" w:qFormat="1"/>
    <w:lsdException w:name="Document Map" w:semiHidden="1" w:uiPriority="0"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7F5B60"/>
    <w:pPr>
      <w:spacing w:after="240" w:line="240" w:lineRule="auto"/>
    </w:pPr>
    <w:rPr>
      <w:rFonts w:ascii="Times New Roman" w:eastAsia="Times New Roman" w:hAnsi="Times New Roman" w:cs="Times New Roman"/>
      <w:sz w:val="24"/>
      <w:szCs w:val="24"/>
    </w:rPr>
  </w:style>
  <w:style w:type="paragraph" w:styleId="Heading1">
    <w:name w:val="heading 1"/>
    <w:basedOn w:val="Normal"/>
    <w:next w:val="Normal"/>
    <w:link w:val="Heading1Char"/>
    <w:qFormat/>
    <w:rsid w:val="00D352B1"/>
    <w:pPr>
      <w:keepNext/>
      <w:keepLines/>
      <w:spacing w:before="480" w:after="0"/>
      <w:outlineLvl w:val="0"/>
    </w:pPr>
    <w:rPr>
      <w:rFonts w:asciiTheme="majorHAnsi" w:eastAsiaTheme="majorEastAsia" w:hAnsiTheme="majorHAnsi" w:cstheme="majorBidi"/>
      <w:b/>
      <w:bCs/>
      <w:color w:val="365F91" w:themeColor="accent1" w:themeShade="BF"/>
      <w:sz w:val="28"/>
      <w:szCs w:val="28"/>
    </w:rPr>
  </w:style>
  <w:style w:type="paragraph" w:styleId="Heading2">
    <w:name w:val="heading 2"/>
    <w:basedOn w:val="Normal"/>
    <w:next w:val="Normal"/>
    <w:link w:val="Heading2Char"/>
    <w:qFormat/>
    <w:rsid w:val="00A015F7"/>
    <w:pPr>
      <w:keepNext/>
      <w:spacing w:before="360" w:line="360" w:lineRule="auto"/>
      <w:outlineLvl w:val="1"/>
    </w:pPr>
    <w:rPr>
      <w:b/>
    </w:rPr>
  </w:style>
  <w:style w:type="paragraph" w:styleId="Heading3">
    <w:name w:val="heading 3"/>
    <w:basedOn w:val="Normal"/>
    <w:next w:val="Normal"/>
    <w:link w:val="Heading3Char"/>
    <w:qFormat/>
    <w:rsid w:val="00DA2A83"/>
    <w:pPr>
      <w:keepNext/>
      <w:widowControl w:val="0"/>
      <w:numPr>
        <w:ilvl w:val="2"/>
        <w:numId w:val="3"/>
      </w:numPr>
      <w:autoSpaceDE w:val="0"/>
      <w:autoSpaceDN w:val="0"/>
      <w:adjustRightInd w:val="0"/>
      <w:spacing w:before="240" w:after="120"/>
      <w:outlineLvl w:val="2"/>
    </w:pPr>
    <w:rPr>
      <w:b/>
      <w:bCs/>
      <w:szCs w:val="26"/>
    </w:rPr>
  </w:style>
  <w:style w:type="paragraph" w:styleId="Heading4">
    <w:name w:val="heading 4"/>
    <w:basedOn w:val="Normal"/>
    <w:next w:val="Normal"/>
    <w:link w:val="Heading4Char"/>
    <w:qFormat/>
    <w:rsid w:val="006103BB"/>
    <w:pPr>
      <w:keepNext/>
      <w:numPr>
        <w:ilvl w:val="3"/>
        <w:numId w:val="3"/>
      </w:numPr>
      <w:spacing w:before="240" w:after="60"/>
      <w:outlineLvl w:val="3"/>
    </w:pPr>
    <w:rPr>
      <w:b/>
      <w:bCs/>
      <w:sz w:val="28"/>
      <w:szCs w:val="28"/>
    </w:rPr>
  </w:style>
  <w:style w:type="paragraph" w:styleId="Heading5">
    <w:name w:val="heading 5"/>
    <w:aliases w:val="h5,h51"/>
    <w:basedOn w:val="Normal"/>
    <w:next w:val="Normal"/>
    <w:link w:val="Heading5Char"/>
    <w:qFormat/>
    <w:rsid w:val="006103BB"/>
    <w:pPr>
      <w:numPr>
        <w:ilvl w:val="4"/>
        <w:numId w:val="3"/>
      </w:numPr>
      <w:spacing w:before="240" w:after="60"/>
      <w:outlineLvl w:val="4"/>
    </w:pPr>
    <w:rPr>
      <w:b/>
      <w:bCs/>
      <w:i/>
      <w:iCs/>
      <w:sz w:val="26"/>
      <w:szCs w:val="26"/>
    </w:rPr>
  </w:style>
  <w:style w:type="paragraph" w:styleId="Heading6">
    <w:name w:val="heading 6"/>
    <w:aliases w:val="h6,h61"/>
    <w:basedOn w:val="Normal"/>
    <w:next w:val="Normal"/>
    <w:link w:val="Heading6Char"/>
    <w:qFormat/>
    <w:rsid w:val="006103BB"/>
    <w:pPr>
      <w:numPr>
        <w:ilvl w:val="5"/>
        <w:numId w:val="3"/>
      </w:numPr>
      <w:spacing w:before="240" w:after="60"/>
      <w:outlineLvl w:val="5"/>
    </w:pPr>
    <w:rPr>
      <w:b/>
      <w:bCs/>
      <w:sz w:val="22"/>
      <w:szCs w:val="22"/>
    </w:rPr>
  </w:style>
  <w:style w:type="paragraph" w:styleId="Heading7">
    <w:name w:val="heading 7"/>
    <w:aliases w:val="h7,h71"/>
    <w:basedOn w:val="Normal"/>
    <w:next w:val="Normal"/>
    <w:link w:val="Heading7Char"/>
    <w:qFormat/>
    <w:rsid w:val="006103BB"/>
    <w:pPr>
      <w:numPr>
        <w:ilvl w:val="6"/>
        <w:numId w:val="3"/>
      </w:numPr>
      <w:spacing w:before="240" w:after="60"/>
      <w:outlineLvl w:val="6"/>
    </w:pPr>
  </w:style>
  <w:style w:type="paragraph" w:styleId="Heading8">
    <w:name w:val="heading 8"/>
    <w:aliases w:val="h8,h81"/>
    <w:basedOn w:val="Normal"/>
    <w:next w:val="Normal"/>
    <w:link w:val="Heading8Char"/>
    <w:qFormat/>
    <w:rsid w:val="006103BB"/>
    <w:pPr>
      <w:numPr>
        <w:ilvl w:val="7"/>
        <w:numId w:val="3"/>
      </w:numPr>
      <w:spacing w:before="240" w:after="60"/>
      <w:outlineLvl w:val="7"/>
    </w:pPr>
    <w:rPr>
      <w:i/>
      <w:iCs/>
    </w:rPr>
  </w:style>
  <w:style w:type="paragraph" w:styleId="Heading9">
    <w:name w:val="heading 9"/>
    <w:aliases w:val="h9,h91"/>
    <w:basedOn w:val="Normal"/>
    <w:next w:val="Normal"/>
    <w:link w:val="Heading9Char"/>
    <w:qFormat/>
    <w:rsid w:val="006103BB"/>
    <w:pPr>
      <w:numPr>
        <w:ilvl w:val="8"/>
        <w:numId w:val="3"/>
      </w:numPr>
      <w:spacing w:before="240" w:after="60"/>
      <w:outlineLvl w:val="8"/>
    </w:pPr>
    <w:rPr>
      <w:rFonts w:ascii="Arial" w:hAnsi="Arial"/>
      <w:sz w:val="22"/>
      <w:szCs w:val="22"/>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nhideWhenUsed/>
    <w:rsid w:val="00F10BDC"/>
    <w:pPr>
      <w:tabs>
        <w:tab w:val="center" w:pos="4680"/>
        <w:tab w:val="right" w:pos="9360"/>
      </w:tabs>
      <w:spacing w:after="0"/>
    </w:pPr>
  </w:style>
  <w:style w:type="character" w:customStyle="1" w:styleId="Heading1Char">
    <w:name w:val="Heading 1 Char"/>
    <w:basedOn w:val="DefaultParagraphFont"/>
    <w:link w:val="Heading1"/>
    <w:rsid w:val="00D352B1"/>
    <w:rPr>
      <w:rFonts w:asciiTheme="majorHAnsi" w:eastAsiaTheme="majorEastAsia" w:hAnsiTheme="majorHAnsi" w:cstheme="majorBidi"/>
      <w:b/>
      <w:bCs/>
      <w:color w:val="365F91" w:themeColor="accent1" w:themeShade="BF"/>
      <w:sz w:val="28"/>
      <w:szCs w:val="28"/>
    </w:rPr>
  </w:style>
  <w:style w:type="character" w:customStyle="1" w:styleId="HeaderChar">
    <w:name w:val="Header Char"/>
    <w:basedOn w:val="DefaultParagraphFont"/>
    <w:link w:val="Header"/>
    <w:rsid w:val="00F10BDC"/>
    <w:rPr>
      <w:rFonts w:ascii="Times New Roman" w:eastAsia="Times New Roman" w:hAnsi="Times New Roman" w:cs="Times New Roman"/>
      <w:sz w:val="24"/>
      <w:szCs w:val="24"/>
    </w:rPr>
  </w:style>
  <w:style w:type="paragraph" w:styleId="Footer">
    <w:name w:val="footer"/>
    <w:basedOn w:val="Normal"/>
    <w:link w:val="FooterChar"/>
    <w:uiPriority w:val="99"/>
    <w:unhideWhenUsed/>
    <w:rsid w:val="00161F51"/>
    <w:pPr>
      <w:numPr>
        <w:numId w:val="18"/>
      </w:numPr>
      <w:tabs>
        <w:tab w:val="center" w:pos="4680"/>
        <w:tab w:val="right" w:pos="9360"/>
      </w:tabs>
      <w:spacing w:after="0"/>
    </w:pPr>
  </w:style>
  <w:style w:type="character" w:customStyle="1" w:styleId="Heading2Char">
    <w:name w:val="Heading 2 Char"/>
    <w:basedOn w:val="DefaultParagraphFont"/>
    <w:link w:val="Heading2"/>
    <w:rsid w:val="006103BB"/>
    <w:rPr>
      <w:rFonts w:ascii="Times New Roman" w:eastAsia="Times New Roman" w:hAnsi="Times New Roman" w:cs="Times New Roman"/>
      <w:b/>
      <w:sz w:val="24"/>
      <w:szCs w:val="24"/>
    </w:rPr>
  </w:style>
  <w:style w:type="character" w:customStyle="1" w:styleId="Heading3Char">
    <w:name w:val="Heading 3 Char"/>
    <w:basedOn w:val="DefaultParagraphFont"/>
    <w:link w:val="Heading3"/>
    <w:rsid w:val="00DA2A83"/>
    <w:rPr>
      <w:rFonts w:ascii="Times New Roman" w:eastAsia="Times New Roman" w:hAnsi="Times New Roman" w:cs="Times New Roman"/>
      <w:b/>
      <w:bCs/>
      <w:sz w:val="24"/>
      <w:szCs w:val="26"/>
    </w:rPr>
  </w:style>
  <w:style w:type="character" w:customStyle="1" w:styleId="Heading4Char">
    <w:name w:val="Heading 4 Char"/>
    <w:basedOn w:val="DefaultParagraphFont"/>
    <w:link w:val="Heading4"/>
    <w:rsid w:val="006103BB"/>
    <w:rPr>
      <w:rFonts w:ascii="Times New Roman" w:eastAsia="Times New Roman" w:hAnsi="Times New Roman" w:cs="Times New Roman"/>
      <w:b/>
      <w:bCs/>
      <w:sz w:val="28"/>
      <w:szCs w:val="28"/>
    </w:rPr>
  </w:style>
  <w:style w:type="character" w:customStyle="1" w:styleId="Heading5Char">
    <w:name w:val="Heading 5 Char"/>
    <w:aliases w:val="h5 Char,h51 Char"/>
    <w:basedOn w:val="DefaultParagraphFont"/>
    <w:link w:val="Heading5"/>
    <w:rsid w:val="006103BB"/>
    <w:rPr>
      <w:rFonts w:ascii="Times New Roman" w:eastAsia="Times New Roman" w:hAnsi="Times New Roman" w:cs="Times New Roman"/>
      <w:b/>
      <w:bCs/>
      <w:i/>
      <w:iCs/>
      <w:sz w:val="26"/>
      <w:szCs w:val="26"/>
    </w:rPr>
  </w:style>
  <w:style w:type="character" w:customStyle="1" w:styleId="Heading6Char">
    <w:name w:val="Heading 6 Char"/>
    <w:aliases w:val="h6 Char,h61 Char"/>
    <w:basedOn w:val="DefaultParagraphFont"/>
    <w:link w:val="Heading6"/>
    <w:rsid w:val="006103BB"/>
    <w:rPr>
      <w:rFonts w:ascii="Times New Roman" w:eastAsia="Times New Roman" w:hAnsi="Times New Roman" w:cs="Times New Roman"/>
      <w:b/>
      <w:bCs/>
    </w:rPr>
  </w:style>
  <w:style w:type="character" w:customStyle="1" w:styleId="Heading7Char">
    <w:name w:val="Heading 7 Char"/>
    <w:aliases w:val="h7 Char,h71 Char"/>
    <w:basedOn w:val="DefaultParagraphFont"/>
    <w:link w:val="Heading7"/>
    <w:rsid w:val="006103BB"/>
    <w:rPr>
      <w:rFonts w:ascii="Times New Roman" w:eastAsia="Times New Roman" w:hAnsi="Times New Roman" w:cs="Times New Roman"/>
      <w:sz w:val="24"/>
      <w:szCs w:val="24"/>
    </w:rPr>
  </w:style>
  <w:style w:type="character" w:customStyle="1" w:styleId="Heading8Char">
    <w:name w:val="Heading 8 Char"/>
    <w:aliases w:val="h8 Char,h81 Char"/>
    <w:basedOn w:val="DefaultParagraphFont"/>
    <w:link w:val="Heading8"/>
    <w:rsid w:val="006103BB"/>
    <w:rPr>
      <w:rFonts w:ascii="Times New Roman" w:eastAsia="Times New Roman" w:hAnsi="Times New Roman" w:cs="Times New Roman"/>
      <w:i/>
      <w:iCs/>
      <w:sz w:val="24"/>
      <w:szCs w:val="24"/>
    </w:rPr>
  </w:style>
  <w:style w:type="character" w:customStyle="1" w:styleId="Heading9Char">
    <w:name w:val="Heading 9 Char"/>
    <w:aliases w:val="h9 Char,h91 Char"/>
    <w:basedOn w:val="DefaultParagraphFont"/>
    <w:link w:val="Heading9"/>
    <w:rsid w:val="006103BB"/>
    <w:rPr>
      <w:rFonts w:ascii="Arial" w:eastAsia="Times New Roman" w:hAnsi="Arial" w:cs="Times New Roman"/>
    </w:rPr>
  </w:style>
  <w:style w:type="character" w:customStyle="1" w:styleId="FooterChar">
    <w:name w:val="Footer Char"/>
    <w:basedOn w:val="DefaultParagraphFont"/>
    <w:link w:val="Footer"/>
    <w:uiPriority w:val="99"/>
    <w:rsid w:val="00161F51"/>
    <w:rPr>
      <w:rFonts w:ascii="Times New Roman" w:eastAsia="Times New Roman" w:hAnsi="Times New Roman" w:cs="Times New Roman"/>
      <w:sz w:val="24"/>
      <w:szCs w:val="24"/>
    </w:rPr>
  </w:style>
  <w:style w:type="character" w:styleId="FootnoteReference">
    <w:name w:val="footnote reference"/>
    <w:aliases w:val="Style 6,o,fr,Style 17,Style 13,Style 12,Style 15,Style 9,o1,fr1,o2,fr2,o3,fr3,Style 18,(NECG) Footnote Reference,Style 20,Style 7,Style 8,Style 19,Style 28,Styl,Style 11,Style 16,Footnote Reference (EIS),fnr,Footnote reference (EA),."/>
    <w:uiPriority w:val="99"/>
    <w:qFormat/>
    <w:rsid w:val="006103BB"/>
    <w:rPr>
      <w:rFonts w:ascii="Times New Roman" w:hAnsi="Times New Roman"/>
      <w:color w:val="auto"/>
      <w:sz w:val="24"/>
      <w:vertAlign w:val="superscript"/>
    </w:rPr>
  </w:style>
  <w:style w:type="paragraph" w:customStyle="1" w:styleId="TextCharChar">
    <w:name w:val="Text Char Char"/>
    <w:basedOn w:val="Normal"/>
    <w:link w:val="TextCharCharChar"/>
    <w:semiHidden/>
    <w:rsid w:val="006103BB"/>
    <w:pPr>
      <w:spacing w:before="240" w:line="360" w:lineRule="auto"/>
    </w:pPr>
  </w:style>
  <w:style w:type="character" w:customStyle="1" w:styleId="TextCharCharChar">
    <w:name w:val="Text Char Char Char"/>
    <w:link w:val="TextCharChar"/>
    <w:semiHidden/>
    <w:locked/>
    <w:rsid w:val="006103BB"/>
    <w:rPr>
      <w:rFonts w:ascii="Times New Roman" w:eastAsia="Times New Roman" w:hAnsi="Times New Roman" w:cs="Times New Roman"/>
      <w:sz w:val="24"/>
      <w:szCs w:val="24"/>
    </w:rPr>
  </w:style>
  <w:style w:type="character" w:styleId="Hyperlink">
    <w:name w:val="Hyperlink"/>
    <w:uiPriority w:val="99"/>
    <w:rsid w:val="006103BB"/>
    <w:rPr>
      <w:rFonts w:cs="Times New Roman"/>
      <w:color w:val="auto"/>
      <w:u w:val="single"/>
    </w:rPr>
  </w:style>
  <w:style w:type="character" w:styleId="CommentReference">
    <w:name w:val="annotation reference"/>
    <w:semiHidden/>
    <w:rsid w:val="006103BB"/>
    <w:rPr>
      <w:rFonts w:cs="Times New Roman"/>
      <w:sz w:val="16"/>
      <w:szCs w:val="16"/>
    </w:rPr>
  </w:style>
  <w:style w:type="paragraph" w:styleId="EndnoteText">
    <w:name w:val="endnote text"/>
    <w:basedOn w:val="Normal"/>
    <w:link w:val="EndnoteTextChar"/>
    <w:semiHidden/>
    <w:rsid w:val="006103BB"/>
    <w:pPr>
      <w:tabs>
        <w:tab w:val="left" w:pos="360"/>
      </w:tabs>
      <w:spacing w:after="200" w:line="240" w:lineRule="atLeast"/>
    </w:pPr>
    <w:rPr>
      <w:sz w:val="20"/>
      <w:szCs w:val="20"/>
    </w:rPr>
  </w:style>
  <w:style w:type="character" w:customStyle="1" w:styleId="EndnoteTextChar">
    <w:name w:val="Endnote Text Char"/>
    <w:basedOn w:val="DefaultParagraphFont"/>
    <w:link w:val="EndnoteText"/>
    <w:semiHidden/>
    <w:rsid w:val="006103BB"/>
    <w:rPr>
      <w:rFonts w:ascii="Times New Roman" w:eastAsia="Times New Roman" w:hAnsi="Times New Roman" w:cs="Times New Roman"/>
      <w:sz w:val="20"/>
      <w:szCs w:val="20"/>
    </w:rPr>
  </w:style>
  <w:style w:type="paragraph" w:styleId="TOC1">
    <w:name w:val="toc 1"/>
    <w:basedOn w:val="Normal"/>
    <w:next w:val="Normal"/>
    <w:link w:val="TOC1Char"/>
    <w:uiPriority w:val="39"/>
    <w:qFormat/>
    <w:rsid w:val="006103BB"/>
    <w:pPr>
      <w:keepNext/>
      <w:tabs>
        <w:tab w:val="left" w:pos="720"/>
        <w:tab w:val="right" w:leader="dot" w:pos="9360"/>
      </w:tabs>
      <w:spacing w:before="120" w:after="0" w:line="240" w:lineRule="atLeast"/>
    </w:pPr>
    <w:rPr>
      <w:rFonts w:eastAsia="MS Mincho"/>
      <w:b/>
      <w:bCs/>
      <w:sz w:val="23"/>
    </w:rPr>
  </w:style>
  <w:style w:type="character" w:customStyle="1" w:styleId="TOC1Char">
    <w:name w:val="TOC 1 Char"/>
    <w:link w:val="TOC1"/>
    <w:uiPriority w:val="39"/>
    <w:locked/>
    <w:rsid w:val="006103BB"/>
    <w:rPr>
      <w:rFonts w:ascii="Times New Roman" w:eastAsia="MS Mincho" w:hAnsi="Times New Roman" w:cs="Times New Roman"/>
      <w:b/>
      <w:bCs/>
      <w:sz w:val="23"/>
      <w:szCs w:val="24"/>
    </w:rPr>
  </w:style>
  <w:style w:type="paragraph" w:styleId="TOC2">
    <w:name w:val="toc 2"/>
    <w:basedOn w:val="Normal"/>
    <w:next w:val="Normal"/>
    <w:uiPriority w:val="39"/>
    <w:qFormat/>
    <w:rsid w:val="006103BB"/>
    <w:pPr>
      <w:tabs>
        <w:tab w:val="left" w:pos="720"/>
        <w:tab w:val="left" w:pos="1152"/>
        <w:tab w:val="right" w:leader="dot" w:pos="9360"/>
      </w:tabs>
      <w:spacing w:after="0" w:line="240" w:lineRule="atLeast"/>
      <w:ind w:left="720"/>
    </w:pPr>
    <w:rPr>
      <w:rFonts w:eastAsia="MS Mincho"/>
      <w:iCs/>
      <w:sz w:val="23"/>
      <w:szCs w:val="20"/>
    </w:rPr>
  </w:style>
  <w:style w:type="paragraph" w:styleId="CommentSubject">
    <w:name w:val="annotation subject"/>
    <w:basedOn w:val="Normal"/>
    <w:link w:val="CommentSubjectChar"/>
    <w:uiPriority w:val="99"/>
    <w:semiHidden/>
    <w:rsid w:val="0005087B"/>
    <w:pPr>
      <w:widowControl w:val="0"/>
      <w:autoSpaceDE w:val="0"/>
      <w:autoSpaceDN w:val="0"/>
      <w:adjustRightInd w:val="0"/>
    </w:pPr>
    <w:rPr>
      <w:b/>
      <w:bCs/>
      <w:sz w:val="20"/>
      <w:szCs w:val="20"/>
    </w:rPr>
  </w:style>
  <w:style w:type="character" w:customStyle="1" w:styleId="CommentSubjectChar">
    <w:name w:val="Comment Subject Char"/>
    <w:basedOn w:val="DefaultParagraphFont"/>
    <w:link w:val="CommentSubject"/>
    <w:uiPriority w:val="99"/>
    <w:semiHidden/>
    <w:rsid w:val="0005087B"/>
    <w:rPr>
      <w:rFonts w:ascii="Times New Roman" w:eastAsia="Times New Roman" w:hAnsi="Times New Roman" w:cs="Times New Roman"/>
      <w:b/>
      <w:bCs/>
      <w:sz w:val="20"/>
      <w:szCs w:val="20"/>
    </w:rPr>
  </w:style>
  <w:style w:type="paragraph" w:customStyle="1" w:styleId="Text">
    <w:name w:val="Text"/>
    <w:basedOn w:val="Normal"/>
    <w:link w:val="TextChar"/>
    <w:semiHidden/>
    <w:rsid w:val="006103BB"/>
    <w:pPr>
      <w:spacing w:before="180" w:after="120" w:line="360" w:lineRule="auto"/>
    </w:pPr>
  </w:style>
  <w:style w:type="character" w:customStyle="1" w:styleId="TextChar">
    <w:name w:val="Text Char"/>
    <w:link w:val="Text"/>
    <w:semiHidden/>
    <w:locked/>
    <w:rsid w:val="006103BB"/>
    <w:rPr>
      <w:rFonts w:ascii="Times New Roman" w:eastAsia="Times New Roman" w:hAnsi="Times New Roman" w:cs="Times New Roman"/>
      <w:sz w:val="24"/>
      <w:szCs w:val="24"/>
    </w:rPr>
  </w:style>
  <w:style w:type="paragraph" w:styleId="Index1">
    <w:name w:val="index 1"/>
    <w:basedOn w:val="Normal"/>
    <w:semiHidden/>
    <w:rsid w:val="006103BB"/>
    <w:pPr>
      <w:widowControl w:val="0"/>
      <w:tabs>
        <w:tab w:val="right" w:leader="dot" w:pos="9360"/>
      </w:tabs>
      <w:autoSpaceDE w:val="0"/>
      <w:autoSpaceDN w:val="0"/>
      <w:adjustRightInd w:val="0"/>
    </w:pPr>
  </w:style>
  <w:style w:type="paragraph" w:styleId="TOAHeading">
    <w:name w:val="toa heading"/>
    <w:basedOn w:val="Normal"/>
    <w:semiHidden/>
    <w:rsid w:val="006103BB"/>
    <w:pPr>
      <w:spacing w:before="240"/>
      <w:jc w:val="center"/>
    </w:pPr>
    <w:rPr>
      <w:caps/>
    </w:rPr>
  </w:style>
  <w:style w:type="paragraph" w:styleId="TableofFigures">
    <w:name w:val="table of figures"/>
    <w:basedOn w:val="Normal"/>
    <w:next w:val="Normal"/>
    <w:uiPriority w:val="99"/>
    <w:rsid w:val="006103BB"/>
    <w:pPr>
      <w:spacing w:after="0"/>
    </w:pPr>
    <w:rPr>
      <w:sz w:val="23"/>
    </w:rPr>
  </w:style>
  <w:style w:type="paragraph" w:styleId="Revision">
    <w:name w:val="Revision"/>
    <w:hidden/>
    <w:uiPriority w:val="99"/>
    <w:semiHidden/>
    <w:rsid w:val="006103BB"/>
    <w:pPr>
      <w:spacing w:after="0" w:line="240" w:lineRule="auto"/>
    </w:pPr>
    <w:rPr>
      <w:rFonts w:ascii="Times New Roman" w:eastAsia="Times New Roman" w:hAnsi="Times New Roman" w:cs="Times New Roman"/>
      <w:sz w:val="24"/>
      <w:szCs w:val="24"/>
    </w:rPr>
  </w:style>
  <w:style w:type="character" w:styleId="Strong">
    <w:name w:val="Strong"/>
    <w:qFormat/>
    <w:rsid w:val="006103BB"/>
    <w:rPr>
      <w:b/>
      <w:bCs/>
    </w:rPr>
  </w:style>
  <w:style w:type="paragraph" w:styleId="DocumentMap">
    <w:name w:val="Document Map"/>
    <w:basedOn w:val="Normal"/>
    <w:link w:val="DocumentMapChar"/>
    <w:semiHidden/>
    <w:rsid w:val="006103BB"/>
    <w:pPr>
      <w:shd w:val="clear" w:color="auto" w:fill="000080"/>
    </w:pPr>
    <w:rPr>
      <w:rFonts w:ascii="Tahoma" w:eastAsia="Calibri" w:hAnsi="Tahoma"/>
      <w:sz w:val="20"/>
      <w:szCs w:val="20"/>
    </w:rPr>
  </w:style>
  <w:style w:type="character" w:customStyle="1" w:styleId="DocumentMapChar">
    <w:name w:val="Document Map Char"/>
    <w:basedOn w:val="DefaultParagraphFont"/>
    <w:link w:val="DocumentMap"/>
    <w:semiHidden/>
    <w:rsid w:val="006103BB"/>
    <w:rPr>
      <w:rFonts w:ascii="Tahoma" w:eastAsia="Calibri" w:hAnsi="Tahoma" w:cs="Times New Roman"/>
      <w:sz w:val="20"/>
      <w:szCs w:val="20"/>
      <w:shd w:val="clear" w:color="auto" w:fill="000080"/>
    </w:rPr>
  </w:style>
  <w:style w:type="character" w:styleId="EndnoteReference">
    <w:name w:val="endnote reference"/>
    <w:semiHidden/>
    <w:rsid w:val="006103BB"/>
    <w:rPr>
      <w:rFonts w:cs="Times New Roman"/>
      <w:vertAlign w:val="superscript"/>
    </w:rPr>
  </w:style>
  <w:style w:type="table" w:styleId="TableGrid">
    <w:name w:val="Table Grid"/>
    <w:basedOn w:val="TableNormal"/>
    <w:rsid w:val="006103BB"/>
    <w:pPr>
      <w:spacing w:after="0" w:line="240" w:lineRule="auto"/>
    </w:pPr>
    <w:rPr>
      <w:rFonts w:ascii="Times New Roman" w:eastAsia="Times New Roman" w:hAnsi="Times New Roman" w:cs="Times New Roman"/>
      <w:sz w:val="20"/>
      <w:szCs w:val="20"/>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numbering" w:customStyle="1" w:styleId="Observations">
    <w:name w:val="Observations"/>
    <w:uiPriority w:val="99"/>
    <w:rsid w:val="006103BB"/>
    <w:pPr>
      <w:numPr>
        <w:numId w:val="2"/>
      </w:numPr>
    </w:pPr>
  </w:style>
  <w:style w:type="table" w:styleId="LightList-Accent5">
    <w:name w:val="Light List Accent 5"/>
    <w:basedOn w:val="TableNormal"/>
    <w:uiPriority w:val="61"/>
    <w:rsid w:val="006103BB"/>
    <w:pPr>
      <w:spacing w:after="0" w:line="240" w:lineRule="auto"/>
    </w:pPr>
    <w:rPr>
      <w:rFonts w:ascii="Times New Roman" w:eastAsia="Times New Roman" w:hAnsi="Times New Roman" w:cs="Times New Roman"/>
      <w:sz w:val="20"/>
      <w:szCs w:val="20"/>
    </w:rPr>
    <w:tblPr>
      <w:tblStyleRowBandSize w:val="1"/>
      <w:tblStyleColBandSize w:val="1"/>
      <w:tblBorders>
        <w:top w:val="single" w:sz="8" w:space="0" w:color="4BACC6"/>
        <w:left w:val="single" w:sz="8" w:space="0" w:color="4BACC6"/>
        <w:bottom w:val="single" w:sz="8" w:space="0" w:color="4BACC6"/>
        <w:right w:val="single" w:sz="8" w:space="0" w:color="4BACC6"/>
      </w:tblBorders>
    </w:tblPr>
    <w:tblStylePr w:type="firstRow">
      <w:pPr>
        <w:spacing w:before="0" w:after="0" w:line="240" w:lineRule="auto"/>
      </w:pPr>
      <w:rPr>
        <w:b/>
        <w:bCs/>
        <w:color w:val="FFFFFF"/>
      </w:rPr>
      <w:tblPr/>
      <w:tcPr>
        <w:shd w:val="clear" w:color="auto" w:fill="4BACC6"/>
      </w:tcPr>
    </w:tblStylePr>
    <w:tblStylePr w:type="lastRow">
      <w:pPr>
        <w:spacing w:before="0" w:after="0" w:line="240" w:lineRule="auto"/>
      </w:pPr>
      <w:rPr>
        <w:b/>
        <w:bCs/>
      </w:rPr>
      <w:tblPr/>
      <w:tcPr>
        <w:tcBorders>
          <w:top w:val="double" w:sz="6" w:space="0" w:color="4BACC6"/>
          <w:left w:val="single" w:sz="8" w:space="0" w:color="4BACC6"/>
          <w:bottom w:val="single" w:sz="8" w:space="0" w:color="4BACC6"/>
          <w:right w:val="single" w:sz="8" w:space="0" w:color="4BACC6"/>
        </w:tcBorders>
      </w:tcPr>
    </w:tblStylePr>
    <w:tblStylePr w:type="firstCol">
      <w:rPr>
        <w:b/>
        <w:bCs/>
      </w:rPr>
    </w:tblStylePr>
    <w:tblStylePr w:type="lastCol">
      <w:rPr>
        <w:b/>
        <w:bCs/>
      </w:rPr>
    </w:tblStylePr>
    <w:tblStylePr w:type="band1Vert">
      <w:tblPr/>
      <w:tcPr>
        <w:tcBorders>
          <w:top w:val="single" w:sz="8" w:space="0" w:color="4BACC6"/>
          <w:left w:val="single" w:sz="8" w:space="0" w:color="4BACC6"/>
          <w:bottom w:val="single" w:sz="8" w:space="0" w:color="4BACC6"/>
          <w:right w:val="single" w:sz="8" w:space="0" w:color="4BACC6"/>
        </w:tcBorders>
      </w:tcPr>
    </w:tblStylePr>
    <w:tblStylePr w:type="band1Horz">
      <w:tblPr/>
      <w:tcPr>
        <w:tcBorders>
          <w:top w:val="single" w:sz="8" w:space="0" w:color="4BACC6"/>
          <w:left w:val="single" w:sz="8" w:space="0" w:color="4BACC6"/>
          <w:bottom w:val="single" w:sz="8" w:space="0" w:color="4BACC6"/>
          <w:right w:val="single" w:sz="8" w:space="0" w:color="4BACC6"/>
        </w:tcBorders>
      </w:tcPr>
    </w:tblStylePr>
  </w:style>
  <w:style w:type="table" w:styleId="LightShading-Accent5">
    <w:name w:val="Light Shading Accent 5"/>
    <w:basedOn w:val="TableNormal"/>
    <w:uiPriority w:val="60"/>
    <w:rsid w:val="006103BB"/>
    <w:pPr>
      <w:spacing w:after="0" w:line="240" w:lineRule="auto"/>
    </w:pPr>
    <w:rPr>
      <w:rFonts w:ascii="Times New Roman" w:eastAsia="Times New Roman" w:hAnsi="Times New Roman" w:cs="Times New Roman"/>
      <w:color w:val="31849B"/>
      <w:sz w:val="20"/>
      <w:szCs w:val="20"/>
    </w:rPr>
    <w:tblPr>
      <w:tblStyleRowBandSize w:val="1"/>
      <w:tblStyleColBandSize w:val="1"/>
      <w:tblBorders>
        <w:top w:val="single" w:sz="8" w:space="0" w:color="4BACC6"/>
        <w:bottom w:val="single" w:sz="8" w:space="0" w:color="4BACC6"/>
      </w:tblBorders>
    </w:tblPr>
    <w:tblStylePr w:type="firstRow">
      <w:pPr>
        <w:spacing w:before="0" w:after="0" w:line="240" w:lineRule="auto"/>
      </w:pPr>
      <w:rPr>
        <w:b/>
        <w:bCs/>
      </w:rPr>
      <w:tblPr/>
      <w:tcPr>
        <w:tcBorders>
          <w:top w:val="single" w:sz="8" w:space="0" w:color="4BACC6"/>
          <w:left w:val="nil"/>
          <w:bottom w:val="single" w:sz="8" w:space="0" w:color="4BACC6"/>
          <w:right w:val="nil"/>
          <w:insideH w:val="nil"/>
          <w:insideV w:val="nil"/>
        </w:tcBorders>
      </w:tcPr>
    </w:tblStylePr>
    <w:tblStylePr w:type="lastRow">
      <w:pPr>
        <w:spacing w:before="0" w:after="0" w:line="240" w:lineRule="auto"/>
      </w:pPr>
      <w:rPr>
        <w:b/>
        <w:bCs/>
      </w:rPr>
      <w:tblPr/>
      <w:tcPr>
        <w:tcBorders>
          <w:top w:val="single" w:sz="8" w:space="0" w:color="4BACC6"/>
          <w:left w:val="nil"/>
          <w:bottom w:val="single" w:sz="8" w:space="0" w:color="4BACC6"/>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2EAF1"/>
      </w:tcPr>
    </w:tblStylePr>
    <w:tblStylePr w:type="band1Horz">
      <w:tblPr/>
      <w:tcPr>
        <w:tcBorders>
          <w:left w:val="nil"/>
          <w:right w:val="nil"/>
          <w:insideH w:val="nil"/>
          <w:insideV w:val="nil"/>
        </w:tcBorders>
        <w:shd w:val="clear" w:color="auto" w:fill="D2EAF1"/>
      </w:tcPr>
    </w:tblStylePr>
  </w:style>
  <w:style w:type="table" w:customStyle="1" w:styleId="LightShading-Accent11">
    <w:name w:val="Light Shading - Accent 11"/>
    <w:basedOn w:val="TableNormal"/>
    <w:uiPriority w:val="60"/>
    <w:rsid w:val="006103BB"/>
    <w:pPr>
      <w:spacing w:after="0" w:line="240" w:lineRule="auto"/>
    </w:pPr>
    <w:rPr>
      <w:rFonts w:ascii="Times New Roman" w:eastAsia="Times New Roman" w:hAnsi="Times New Roman" w:cs="Times New Roman"/>
      <w:color w:val="365F91"/>
      <w:sz w:val="20"/>
      <w:szCs w:val="20"/>
    </w:rPr>
    <w:tblPr>
      <w:tblStyleRowBandSize w:val="1"/>
      <w:tblStyleColBandSize w:val="1"/>
      <w:tblBorders>
        <w:top w:val="single" w:sz="8" w:space="0" w:color="4F81BD"/>
        <w:bottom w:val="single" w:sz="8" w:space="0" w:color="4F81BD"/>
      </w:tblBorders>
    </w:tblPr>
    <w:tblStylePr w:type="firstRow">
      <w:pPr>
        <w:spacing w:before="0" w:after="0" w:line="240" w:lineRule="auto"/>
      </w:pPr>
      <w:rPr>
        <w:b/>
        <w:bCs/>
      </w:rPr>
      <w:tblPr/>
      <w:tcPr>
        <w:tcBorders>
          <w:top w:val="single" w:sz="8" w:space="0" w:color="4F81BD"/>
          <w:left w:val="nil"/>
          <w:bottom w:val="single" w:sz="8" w:space="0" w:color="4F81BD"/>
          <w:right w:val="nil"/>
          <w:insideH w:val="nil"/>
          <w:insideV w:val="nil"/>
        </w:tcBorders>
      </w:tcPr>
    </w:tblStylePr>
    <w:tblStylePr w:type="lastRow">
      <w:pPr>
        <w:spacing w:before="0" w:after="0" w:line="240" w:lineRule="auto"/>
      </w:pPr>
      <w:rPr>
        <w:b/>
        <w:bCs/>
      </w:rPr>
      <w:tblPr/>
      <w:tcPr>
        <w:tcBorders>
          <w:top w:val="single" w:sz="8" w:space="0" w:color="4F81BD"/>
          <w:left w:val="nil"/>
          <w:bottom w:val="single" w:sz="8" w:space="0" w:color="4F81BD"/>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3DFEE"/>
      </w:tcPr>
    </w:tblStylePr>
    <w:tblStylePr w:type="band1Horz">
      <w:tblPr/>
      <w:tcPr>
        <w:tcBorders>
          <w:left w:val="nil"/>
          <w:right w:val="nil"/>
          <w:insideH w:val="nil"/>
          <w:insideV w:val="nil"/>
        </w:tcBorders>
        <w:shd w:val="clear" w:color="auto" w:fill="D3DFEE"/>
      </w:tcPr>
    </w:tblStylePr>
  </w:style>
  <w:style w:type="paragraph" w:styleId="ListParagraph">
    <w:name w:val="List Paragraph"/>
    <w:basedOn w:val="Normal"/>
    <w:uiPriority w:val="34"/>
    <w:qFormat/>
    <w:rsid w:val="006103BB"/>
    <w:pPr>
      <w:ind w:left="720"/>
      <w:contextualSpacing/>
    </w:pPr>
  </w:style>
  <w:style w:type="paragraph" w:customStyle="1" w:styleId="rptmainbodytitleSOM">
    <w:name w:val="rpt_mainbody_titleSOM"/>
    <w:basedOn w:val="Normal"/>
    <w:qFormat/>
    <w:rsid w:val="006103BB"/>
    <w:pPr>
      <w:spacing w:after="0"/>
      <w:jc w:val="center"/>
    </w:pPr>
    <w:rPr>
      <w:rFonts w:ascii="Times New Roman Bold" w:hAnsi="Times New Roman Bold"/>
      <w:b/>
      <w:smallCaps/>
      <w:sz w:val="32"/>
    </w:rPr>
  </w:style>
  <w:style w:type="paragraph" w:customStyle="1" w:styleId="rptmainbodysubtitleAUTHORS">
    <w:name w:val="rpt_mainbody_subtitleAUTHORS"/>
    <w:basedOn w:val="Normal"/>
    <w:qFormat/>
    <w:rsid w:val="000068C0"/>
    <w:pPr>
      <w:spacing w:after="0"/>
      <w:jc w:val="center"/>
    </w:pPr>
  </w:style>
  <w:style w:type="paragraph" w:customStyle="1" w:styleId="rptmainbodysubtitleMMU">
    <w:name w:val="rpt_mainbody_subtitleMMU"/>
    <w:basedOn w:val="Normal"/>
    <w:qFormat/>
    <w:rsid w:val="000068C0"/>
    <w:pPr>
      <w:spacing w:after="0"/>
      <w:jc w:val="center"/>
    </w:pPr>
    <w:rPr>
      <w:sz w:val="28"/>
      <w:szCs w:val="28"/>
    </w:rPr>
  </w:style>
  <w:style w:type="paragraph" w:customStyle="1" w:styleId="rptmainbodytitleTOC">
    <w:name w:val="rpt_mainbody_titleTOC"/>
    <w:basedOn w:val="Normal"/>
    <w:qFormat/>
    <w:rsid w:val="008A7D1B"/>
    <w:pPr>
      <w:jc w:val="center"/>
    </w:pPr>
    <w:rPr>
      <w:b/>
      <w:u w:val="single"/>
    </w:rPr>
  </w:style>
  <w:style w:type="paragraph" w:customStyle="1" w:styleId="rptexecsummheading1">
    <w:name w:val="rpt_execsumm_heading_1"/>
    <w:basedOn w:val="Heading1"/>
    <w:qFormat/>
    <w:rsid w:val="009F369E"/>
    <w:pPr>
      <w:spacing w:before="360" w:after="240"/>
      <w:ind w:left="720" w:hanging="360"/>
      <w:jc w:val="center"/>
    </w:pPr>
    <w:rPr>
      <w:rFonts w:ascii="Times New Roman Bold" w:hAnsi="Times New Roman Bold"/>
      <w:smallCaps/>
      <w:color w:val="214DAF"/>
    </w:rPr>
  </w:style>
  <w:style w:type="paragraph" w:customStyle="1" w:styleId="rptmainbodysubtitleLIST">
    <w:name w:val="rpt_mainbody_subtitleLIST"/>
    <w:basedOn w:val="Normal"/>
    <w:qFormat/>
    <w:rsid w:val="007C48A5"/>
    <w:pPr>
      <w:spacing w:after="120"/>
    </w:pPr>
    <w:rPr>
      <w:u w:val="single"/>
    </w:rPr>
  </w:style>
  <w:style w:type="paragraph" w:customStyle="1" w:styleId="rptexecsummtext">
    <w:name w:val="rpt_execsumm_text"/>
    <w:basedOn w:val="Normal"/>
    <w:qFormat/>
    <w:rsid w:val="00DF409E"/>
    <w:pPr>
      <w:spacing w:before="240" w:after="0" w:line="276" w:lineRule="auto"/>
    </w:pPr>
  </w:style>
  <w:style w:type="paragraph" w:customStyle="1" w:styleId="rptexecsummheading2">
    <w:name w:val="rpt_execsumm_heading_2"/>
    <w:basedOn w:val="Normal"/>
    <w:qFormat/>
    <w:rsid w:val="00DC7041"/>
    <w:pPr>
      <w:keepNext/>
      <w:spacing w:before="240" w:line="276" w:lineRule="auto"/>
      <w:ind w:left="360" w:hanging="360"/>
      <w:outlineLvl w:val="1"/>
    </w:pPr>
    <w:rPr>
      <w:b/>
      <w:color w:val="214DAF"/>
    </w:rPr>
  </w:style>
  <w:style w:type="paragraph" w:customStyle="1" w:styleId="rptexecsummheading3">
    <w:name w:val="rpt_execsumm_heading_3"/>
    <w:basedOn w:val="Normal"/>
    <w:qFormat/>
    <w:rsid w:val="00671D38"/>
    <w:pPr>
      <w:keepNext/>
      <w:spacing w:before="240" w:after="0" w:line="276" w:lineRule="auto"/>
      <w:ind w:firstLine="540"/>
    </w:pPr>
    <w:rPr>
      <w:b/>
      <w:i/>
      <w:color w:val="262626" w:themeColor="text1" w:themeTint="D9"/>
    </w:rPr>
  </w:style>
  <w:style w:type="paragraph" w:customStyle="1" w:styleId="rptexecsummfootnotetext">
    <w:name w:val="rpt_execsumm_footnotetext"/>
    <w:basedOn w:val="Normal"/>
    <w:qFormat/>
    <w:rsid w:val="00FB39E8"/>
    <w:pPr>
      <w:spacing w:after="120"/>
      <w:ind w:left="720" w:hanging="720"/>
    </w:pPr>
    <w:rPr>
      <w:sz w:val="20"/>
    </w:rPr>
  </w:style>
  <w:style w:type="paragraph" w:customStyle="1" w:styleId="rptexecsummbullets1">
    <w:name w:val="rpt_execsumm_bullets_1"/>
    <w:basedOn w:val="Normal"/>
    <w:qFormat/>
    <w:rsid w:val="005E4FD7"/>
    <w:pPr>
      <w:numPr>
        <w:numId w:val="5"/>
      </w:numPr>
      <w:spacing w:before="120" w:after="0" w:line="276" w:lineRule="auto"/>
    </w:pPr>
  </w:style>
  <w:style w:type="paragraph" w:customStyle="1" w:styleId="rptmainbodyheading1">
    <w:name w:val="rpt_mainbody_heading_1"/>
    <w:basedOn w:val="Normal"/>
    <w:qFormat/>
    <w:rsid w:val="00BE30BC"/>
    <w:pPr>
      <w:numPr>
        <w:numId w:val="4"/>
      </w:numPr>
      <w:spacing w:before="360" w:line="276" w:lineRule="auto"/>
      <w:jc w:val="center"/>
      <w:outlineLvl w:val="0"/>
    </w:pPr>
    <w:rPr>
      <w:rFonts w:ascii="Times New Roman Bold" w:hAnsi="Times New Roman Bold"/>
      <w:b/>
      <w:smallCaps/>
      <w:color w:val="214DAF"/>
      <w:sz w:val="26"/>
      <w:szCs w:val="26"/>
    </w:rPr>
  </w:style>
  <w:style w:type="paragraph" w:customStyle="1" w:styleId="rptmainbodytext">
    <w:name w:val="rpt_mainbody_text"/>
    <w:basedOn w:val="rptexecsummtext"/>
    <w:qFormat/>
    <w:rsid w:val="00A15D31"/>
  </w:style>
  <w:style w:type="paragraph" w:customStyle="1" w:styleId="rptmainbodybullets1">
    <w:name w:val="rpt_mainbody_bullets_1"/>
    <w:basedOn w:val="rptexecsummbullets1"/>
    <w:qFormat/>
    <w:rsid w:val="00FC3E24"/>
    <w:pPr>
      <w:spacing w:before="80" w:line="240" w:lineRule="auto"/>
    </w:pPr>
  </w:style>
  <w:style w:type="paragraph" w:customStyle="1" w:styleId="rptmainbodyfootnotetext">
    <w:name w:val="rpt_mainbody_footnotetext"/>
    <w:basedOn w:val="Normal"/>
    <w:qFormat/>
    <w:rsid w:val="00FB39E8"/>
    <w:pPr>
      <w:spacing w:after="120"/>
      <w:ind w:left="720" w:hanging="720"/>
    </w:pPr>
    <w:rPr>
      <w:sz w:val="20"/>
    </w:rPr>
  </w:style>
  <w:style w:type="paragraph" w:customStyle="1" w:styleId="rptmainbodyheading2">
    <w:name w:val="rpt_mainbody_heading_2"/>
    <w:basedOn w:val="Normal"/>
    <w:qFormat/>
    <w:rsid w:val="00877148"/>
    <w:pPr>
      <w:keepNext/>
      <w:numPr>
        <w:numId w:val="37"/>
      </w:numPr>
      <w:tabs>
        <w:tab w:val="left" w:pos="576"/>
      </w:tabs>
      <w:spacing w:before="240" w:line="276" w:lineRule="auto"/>
      <w:outlineLvl w:val="1"/>
    </w:pPr>
    <w:rPr>
      <w:b/>
      <w:color w:val="214DAF"/>
    </w:rPr>
  </w:style>
  <w:style w:type="paragraph" w:customStyle="1" w:styleId="rptmainbodyfiguretitle1">
    <w:name w:val="rpt_mainbody_figuretitle_1"/>
    <w:basedOn w:val="Normal"/>
    <w:qFormat/>
    <w:rsid w:val="00D726F9"/>
    <w:pPr>
      <w:keepNext/>
      <w:keepLines/>
      <w:spacing w:before="240" w:after="0"/>
      <w:jc w:val="center"/>
    </w:pPr>
    <w:rPr>
      <w:b/>
    </w:rPr>
  </w:style>
  <w:style w:type="paragraph" w:customStyle="1" w:styleId="rptmainbodyfiguretitle2">
    <w:name w:val="rpt_mainbody_figuretitle_2"/>
    <w:basedOn w:val="Normal"/>
    <w:qFormat/>
    <w:rsid w:val="00014558"/>
    <w:pPr>
      <w:keepNext/>
      <w:spacing w:after="0"/>
      <w:jc w:val="center"/>
    </w:pPr>
  </w:style>
  <w:style w:type="paragraph" w:customStyle="1" w:styleId="rptmainbodyfigure">
    <w:name w:val="rpt_mainbody_figure"/>
    <w:basedOn w:val="Normal"/>
    <w:link w:val="rptmainbodyfigureChar"/>
    <w:qFormat/>
    <w:rsid w:val="009D77EE"/>
    <w:pPr>
      <w:contextualSpacing/>
      <w:jc w:val="center"/>
    </w:pPr>
    <w:rPr>
      <w:noProof/>
    </w:rPr>
  </w:style>
  <w:style w:type="paragraph" w:customStyle="1" w:styleId="rptmainbodyheading3">
    <w:name w:val="rpt_mainbody_heading_3"/>
    <w:basedOn w:val="rptmainbodyheading4"/>
    <w:qFormat/>
    <w:rsid w:val="00997902"/>
    <w:pPr>
      <w:numPr>
        <w:ilvl w:val="2"/>
        <w:numId w:val="38"/>
      </w:numPr>
      <w:spacing w:line="240" w:lineRule="auto"/>
    </w:pPr>
    <w:rPr>
      <w:b/>
    </w:rPr>
  </w:style>
  <w:style w:type="character" w:customStyle="1" w:styleId="rptmainbodyfigureChar">
    <w:name w:val="rpt_mainbody_figure Char"/>
    <w:basedOn w:val="DefaultParagraphFont"/>
    <w:link w:val="rptmainbodyfigure"/>
    <w:rsid w:val="009D77EE"/>
    <w:rPr>
      <w:rFonts w:ascii="Times New Roman" w:eastAsia="Times New Roman" w:hAnsi="Times New Roman" w:cs="Times New Roman"/>
      <w:noProof/>
      <w:sz w:val="24"/>
      <w:szCs w:val="24"/>
    </w:rPr>
  </w:style>
  <w:style w:type="paragraph" w:customStyle="1" w:styleId="rptmainbodyheading4">
    <w:name w:val="rpt_mainbody_heading_4"/>
    <w:basedOn w:val="Normal"/>
    <w:qFormat/>
    <w:rsid w:val="00C003F7"/>
    <w:pPr>
      <w:keepNext/>
      <w:tabs>
        <w:tab w:val="left" w:pos="3667"/>
      </w:tabs>
      <w:spacing w:before="240" w:after="0" w:line="276" w:lineRule="auto"/>
      <w:ind w:firstLine="720"/>
    </w:pPr>
    <w:rPr>
      <w:i/>
    </w:rPr>
  </w:style>
  <w:style w:type="paragraph" w:customStyle="1" w:styleId="rptrecommendcategory">
    <w:name w:val="rpt_recommend_category"/>
    <w:basedOn w:val="Normal"/>
    <w:qFormat/>
    <w:rsid w:val="008B4983"/>
    <w:pPr>
      <w:keepNext/>
      <w:spacing w:before="240" w:after="0" w:line="276" w:lineRule="auto"/>
    </w:pPr>
    <w:rPr>
      <w:b/>
      <w:u w:val="single"/>
    </w:rPr>
  </w:style>
  <w:style w:type="paragraph" w:customStyle="1" w:styleId="rptrecommendbullets1">
    <w:name w:val="rpt_recommend_bullets_1"/>
    <w:basedOn w:val="Normal"/>
    <w:qFormat/>
    <w:rsid w:val="0073569A"/>
    <w:pPr>
      <w:spacing w:before="240" w:after="0"/>
      <w:ind w:left="1440" w:hanging="1080"/>
    </w:pPr>
    <w:rPr>
      <w:b/>
    </w:rPr>
  </w:style>
  <w:style w:type="paragraph" w:customStyle="1" w:styleId="rptrecommendbulletstext">
    <w:name w:val="rpt_recommend_bullets_text"/>
    <w:basedOn w:val="Normal"/>
    <w:qFormat/>
    <w:rsid w:val="0023473E"/>
    <w:pPr>
      <w:spacing w:line="360" w:lineRule="auto"/>
      <w:ind w:left="360"/>
    </w:pPr>
  </w:style>
  <w:style w:type="paragraph" w:customStyle="1" w:styleId="rptrecommendbullets2">
    <w:name w:val="rpt_recommend_bullets_2"/>
    <w:basedOn w:val="Normal"/>
    <w:qFormat/>
    <w:rsid w:val="0023473E"/>
    <w:pPr>
      <w:numPr>
        <w:ilvl w:val="1"/>
        <w:numId w:val="1"/>
      </w:numPr>
      <w:spacing w:before="120"/>
    </w:pPr>
  </w:style>
  <w:style w:type="paragraph" w:customStyle="1" w:styleId="rptrecommendbullets3">
    <w:name w:val="rpt_recommend_bullets_3"/>
    <w:basedOn w:val="Normal"/>
    <w:qFormat/>
    <w:rsid w:val="00374019"/>
    <w:pPr>
      <w:ind w:left="360"/>
    </w:pPr>
  </w:style>
  <w:style w:type="paragraph" w:styleId="BalloonText">
    <w:name w:val="Balloon Text"/>
    <w:basedOn w:val="Normal"/>
    <w:link w:val="BalloonTextChar"/>
    <w:uiPriority w:val="99"/>
    <w:semiHidden/>
    <w:unhideWhenUsed/>
    <w:rsid w:val="002F0B16"/>
    <w:pPr>
      <w:spacing w:after="0"/>
    </w:pPr>
    <w:rPr>
      <w:rFonts w:ascii="Tahoma" w:hAnsi="Tahoma" w:cs="Tahoma"/>
      <w:sz w:val="16"/>
      <w:szCs w:val="16"/>
    </w:rPr>
  </w:style>
  <w:style w:type="character" w:customStyle="1" w:styleId="BalloonTextChar">
    <w:name w:val="Balloon Text Char"/>
    <w:basedOn w:val="DefaultParagraphFont"/>
    <w:link w:val="BalloonText"/>
    <w:uiPriority w:val="99"/>
    <w:semiHidden/>
    <w:rsid w:val="002F0B16"/>
    <w:rPr>
      <w:rFonts w:ascii="Tahoma" w:eastAsia="Times New Roman" w:hAnsi="Tahoma" w:cs="Tahoma"/>
      <w:sz w:val="16"/>
      <w:szCs w:val="16"/>
    </w:rPr>
  </w:style>
  <w:style w:type="paragraph" w:styleId="FootnoteText">
    <w:name w:val="footnote text"/>
    <w:aliases w:val="Footnote Text 1, Char Char Char, Char Char Char Char Char, Char Char Char1 Char Char,ft,Footnote Text Char1,Footnote Text Char Char1,Footnote Text1 Char,Footnote Text Char Ch,Footnote Text Char Char Char, Char Char,Footnote Text MRP"/>
    <w:basedOn w:val="Normal"/>
    <w:link w:val="FootnoteTextChar"/>
    <w:uiPriority w:val="99"/>
    <w:unhideWhenUsed/>
    <w:rsid w:val="00641D3D"/>
    <w:pPr>
      <w:spacing w:after="0"/>
    </w:pPr>
    <w:rPr>
      <w:sz w:val="20"/>
      <w:szCs w:val="20"/>
    </w:rPr>
  </w:style>
  <w:style w:type="character" w:customStyle="1" w:styleId="FootnoteTextChar">
    <w:name w:val="Footnote Text Char"/>
    <w:aliases w:val="Footnote Text 1 Char1, Char Char Char Char1, Char Char Char Char Char Char1, Char Char Char1 Char Char Char1,ft Char1,Footnote Text Char1 Char1,Footnote Text Char Char1 Char1,Footnote Text1 Char Char1,Footnote Text Char Ch Char"/>
    <w:basedOn w:val="DefaultParagraphFont"/>
    <w:link w:val="FootnoteText"/>
    <w:uiPriority w:val="99"/>
    <w:rsid w:val="00641D3D"/>
    <w:rPr>
      <w:rFonts w:ascii="Times New Roman" w:eastAsia="Times New Roman" w:hAnsi="Times New Roman" w:cs="Times New Roman"/>
      <w:sz w:val="20"/>
      <w:szCs w:val="20"/>
    </w:rPr>
  </w:style>
  <w:style w:type="paragraph" w:styleId="CommentText">
    <w:name w:val="annotation text"/>
    <w:basedOn w:val="Normal"/>
    <w:link w:val="CommentTextChar"/>
    <w:unhideWhenUsed/>
    <w:rsid w:val="00641D3D"/>
    <w:rPr>
      <w:sz w:val="20"/>
      <w:szCs w:val="20"/>
    </w:rPr>
  </w:style>
  <w:style w:type="character" w:customStyle="1" w:styleId="CommentTextChar">
    <w:name w:val="Comment Text Char"/>
    <w:basedOn w:val="DefaultParagraphFont"/>
    <w:link w:val="CommentText"/>
    <w:uiPriority w:val="99"/>
    <w:rsid w:val="00641D3D"/>
    <w:rPr>
      <w:rFonts w:ascii="Times New Roman" w:eastAsia="Times New Roman" w:hAnsi="Times New Roman" w:cs="Times New Roman"/>
      <w:sz w:val="20"/>
      <w:szCs w:val="20"/>
    </w:rPr>
  </w:style>
  <w:style w:type="paragraph" w:styleId="Caption">
    <w:name w:val="caption"/>
    <w:basedOn w:val="Normal"/>
    <w:next w:val="Normal"/>
    <w:unhideWhenUsed/>
    <w:qFormat/>
    <w:rsid w:val="00641D3D"/>
    <w:pPr>
      <w:spacing w:after="200"/>
    </w:pPr>
    <w:rPr>
      <w:i/>
      <w:iCs/>
      <w:color w:val="1F497D" w:themeColor="text2"/>
      <w:sz w:val="18"/>
      <w:szCs w:val="18"/>
    </w:rPr>
  </w:style>
  <w:style w:type="paragraph" w:customStyle="1" w:styleId="rptappendixbullets2">
    <w:name w:val="rpt_appendix_bullets_2"/>
    <w:basedOn w:val="Normal"/>
    <w:link w:val="rptappendixbullets2Char"/>
    <w:autoRedefine/>
    <w:qFormat/>
    <w:rsid w:val="004F1815"/>
    <w:pPr>
      <w:numPr>
        <w:numId w:val="20"/>
      </w:numPr>
      <w:spacing w:before="120" w:after="0"/>
      <w:ind w:left="1166"/>
    </w:pPr>
    <w:rPr>
      <w:rFonts w:eastAsia="MS Mincho"/>
    </w:rPr>
  </w:style>
  <w:style w:type="character" w:customStyle="1" w:styleId="rptappendixbullets2Char">
    <w:name w:val="rpt_appendix_bullets_2 Char"/>
    <w:basedOn w:val="DefaultParagraphFont"/>
    <w:link w:val="rptappendixbullets2"/>
    <w:rsid w:val="004F1815"/>
    <w:rPr>
      <w:rFonts w:ascii="Times New Roman" w:eastAsia="MS Mincho" w:hAnsi="Times New Roman" w:cs="Times New Roman"/>
      <w:sz w:val="24"/>
      <w:szCs w:val="24"/>
    </w:rPr>
  </w:style>
  <w:style w:type="paragraph" w:customStyle="1" w:styleId="rptappendixbullets3">
    <w:name w:val="rpt_appendix_bullets_3"/>
    <w:basedOn w:val="Normal"/>
    <w:autoRedefine/>
    <w:qFormat/>
    <w:rsid w:val="00641D3D"/>
    <w:pPr>
      <w:spacing w:before="120" w:after="180"/>
      <w:ind w:left="1440" w:hanging="360"/>
    </w:pPr>
  </w:style>
  <w:style w:type="paragraph" w:customStyle="1" w:styleId="rptappendixbullets1">
    <w:name w:val="rpt_appendix_bullets_1"/>
    <w:basedOn w:val="Normal"/>
    <w:autoRedefine/>
    <w:qFormat/>
    <w:rsid w:val="004F1815"/>
    <w:pPr>
      <w:numPr>
        <w:numId w:val="19"/>
      </w:numPr>
      <w:spacing w:before="240" w:after="0"/>
    </w:pPr>
    <w:rPr>
      <w:rFonts w:eastAsia="Calibri"/>
    </w:rPr>
  </w:style>
  <w:style w:type="paragraph" w:customStyle="1" w:styleId="rptappendixfootnotetext">
    <w:name w:val="rpt_appendix_footnotetext"/>
    <w:basedOn w:val="Normal"/>
    <w:link w:val="rptappendixfootnotetextChar"/>
    <w:qFormat/>
    <w:rsid w:val="00183DB6"/>
    <w:pPr>
      <w:spacing w:after="120"/>
      <w:ind w:left="720" w:hanging="720"/>
    </w:pPr>
    <w:rPr>
      <w:sz w:val="20"/>
    </w:rPr>
  </w:style>
  <w:style w:type="character" w:customStyle="1" w:styleId="rptappendixfootnotetextChar">
    <w:name w:val="rpt_appendix_footnotetext Char"/>
    <w:basedOn w:val="DefaultParagraphFont"/>
    <w:link w:val="rptappendixfootnotetext"/>
    <w:rsid w:val="00183DB6"/>
    <w:rPr>
      <w:rFonts w:ascii="Times New Roman" w:eastAsia="Times New Roman" w:hAnsi="Times New Roman" w:cs="Times New Roman"/>
      <w:sz w:val="20"/>
      <w:szCs w:val="24"/>
    </w:rPr>
  </w:style>
  <w:style w:type="paragraph" w:customStyle="1" w:styleId="rptappendixheading2">
    <w:name w:val="rpt_appendix_heading_2"/>
    <w:basedOn w:val="Normal"/>
    <w:qFormat/>
    <w:rsid w:val="00060DFB"/>
    <w:pPr>
      <w:numPr>
        <w:numId w:val="9"/>
      </w:numPr>
      <w:spacing w:before="360" w:line="360" w:lineRule="auto"/>
      <w:outlineLvl w:val="1"/>
    </w:pPr>
    <w:rPr>
      <w:b/>
    </w:rPr>
  </w:style>
  <w:style w:type="paragraph" w:customStyle="1" w:styleId="rptappendixbullets4">
    <w:name w:val="rpt_appendix_bullets_4"/>
    <w:basedOn w:val="Normal"/>
    <w:autoRedefine/>
    <w:qFormat/>
    <w:rsid w:val="00FC4FB3"/>
    <w:pPr>
      <w:numPr>
        <w:numId w:val="6"/>
      </w:numPr>
      <w:spacing w:before="120" w:after="180"/>
    </w:pPr>
  </w:style>
  <w:style w:type="paragraph" w:customStyle="1" w:styleId="rptappendixtitle">
    <w:name w:val="rpt_appendix_title"/>
    <w:basedOn w:val="Heading1"/>
    <w:qFormat/>
    <w:rsid w:val="003147B2"/>
    <w:pPr>
      <w:keepLines w:val="0"/>
      <w:spacing w:before="0" w:after="240"/>
      <w:jc w:val="center"/>
    </w:pPr>
    <w:rPr>
      <w:rFonts w:ascii="Times New Roman Bold" w:eastAsia="Calibri" w:hAnsi="Times New Roman Bold" w:cs="Arial"/>
      <w:color w:val="auto"/>
      <w:kern w:val="32"/>
      <w:sz w:val="24"/>
      <w:szCs w:val="24"/>
    </w:rPr>
  </w:style>
  <w:style w:type="paragraph" w:customStyle="1" w:styleId="rptappendixtitleSOM">
    <w:name w:val="rpt_appendix_titleSOM"/>
    <w:basedOn w:val="Normal"/>
    <w:rsid w:val="003F412F"/>
    <w:pPr>
      <w:spacing w:before="120"/>
      <w:ind w:left="1440" w:right="1440"/>
      <w:jc w:val="center"/>
    </w:pPr>
    <w:rPr>
      <w:b/>
      <w:bCs/>
      <w:sz w:val="32"/>
      <w:szCs w:val="20"/>
    </w:rPr>
  </w:style>
  <w:style w:type="paragraph" w:customStyle="1" w:styleId="rptappendixfigure">
    <w:name w:val="rpt_appendix_figure"/>
    <w:basedOn w:val="Normal"/>
    <w:link w:val="rptappendixfigureChar"/>
    <w:qFormat/>
    <w:rsid w:val="003F412F"/>
    <w:pPr>
      <w:widowControl w:val="0"/>
      <w:autoSpaceDE w:val="0"/>
      <w:autoSpaceDN w:val="0"/>
      <w:adjustRightInd w:val="0"/>
      <w:contextualSpacing/>
      <w:jc w:val="center"/>
    </w:pPr>
    <w:rPr>
      <w:b/>
    </w:rPr>
  </w:style>
  <w:style w:type="character" w:customStyle="1" w:styleId="rptappendixfigureChar">
    <w:name w:val="rpt_appendix_figure Char"/>
    <w:link w:val="rptappendixfigure"/>
    <w:locked/>
    <w:rsid w:val="003F412F"/>
    <w:rPr>
      <w:rFonts w:ascii="Times New Roman" w:eastAsia="Times New Roman" w:hAnsi="Times New Roman" w:cs="Times New Roman"/>
      <w:b/>
      <w:sz w:val="24"/>
      <w:szCs w:val="24"/>
    </w:rPr>
  </w:style>
  <w:style w:type="paragraph" w:customStyle="1" w:styleId="rptappendixtitleTOC">
    <w:name w:val="rpt_appendix_titleTOC"/>
    <w:basedOn w:val="Normal"/>
    <w:rsid w:val="003F412F"/>
    <w:pPr>
      <w:spacing w:line="360" w:lineRule="auto"/>
      <w:jc w:val="center"/>
    </w:pPr>
    <w:rPr>
      <w:b/>
      <w:bCs/>
      <w:szCs w:val="20"/>
      <w:u w:val="single"/>
    </w:rPr>
  </w:style>
  <w:style w:type="paragraph" w:customStyle="1" w:styleId="rptappendixfiguretitle2">
    <w:name w:val="rpt_appendix_figuretitle_2"/>
    <w:basedOn w:val="Normal"/>
    <w:qFormat/>
    <w:rsid w:val="003F412F"/>
    <w:pPr>
      <w:keepNext/>
      <w:spacing w:after="0"/>
      <w:jc w:val="center"/>
    </w:pPr>
    <w:rPr>
      <w:rFonts w:eastAsia="Calibri"/>
    </w:rPr>
  </w:style>
  <w:style w:type="paragraph" w:customStyle="1" w:styleId="rptappendixfiguretitle1">
    <w:name w:val="rpt_appendix_figuretitle_1"/>
    <w:basedOn w:val="Normal"/>
    <w:qFormat/>
    <w:rsid w:val="003F412F"/>
    <w:pPr>
      <w:keepNext/>
      <w:spacing w:after="0"/>
      <w:jc w:val="center"/>
    </w:pPr>
    <w:rPr>
      <w:rFonts w:eastAsia="Calibri"/>
      <w:b/>
    </w:rPr>
  </w:style>
  <w:style w:type="paragraph" w:customStyle="1" w:styleId="rptappendixfigureintro">
    <w:name w:val="rpt_appendix_figureintro"/>
    <w:basedOn w:val="Normal"/>
    <w:autoRedefine/>
    <w:qFormat/>
    <w:rsid w:val="003F412F"/>
    <w:pPr>
      <w:keepNext/>
      <w:ind w:left="720"/>
    </w:pPr>
    <w:rPr>
      <w:rFonts w:eastAsia="Calibri"/>
      <w:i/>
    </w:rPr>
  </w:style>
  <w:style w:type="paragraph" w:customStyle="1" w:styleId="rptappendixheading1">
    <w:name w:val="rpt_appendix_heading_1"/>
    <w:basedOn w:val="Normal"/>
    <w:qFormat/>
    <w:rsid w:val="00060DFB"/>
    <w:pPr>
      <w:numPr>
        <w:numId w:val="8"/>
      </w:numPr>
      <w:spacing w:after="120" w:line="360" w:lineRule="auto"/>
      <w:jc w:val="center"/>
      <w:outlineLvl w:val="0"/>
    </w:pPr>
    <w:rPr>
      <w:b/>
    </w:rPr>
  </w:style>
  <w:style w:type="paragraph" w:customStyle="1" w:styleId="rptappendixobservationsheader1">
    <w:name w:val="rpt_appendix_observations_header_1"/>
    <w:basedOn w:val="Normal"/>
    <w:qFormat/>
    <w:rsid w:val="003F412F"/>
    <w:pPr>
      <w:keepNext/>
      <w:spacing w:before="120"/>
    </w:pPr>
    <w:rPr>
      <w:b/>
      <w:szCs w:val="20"/>
      <w:u w:val="single"/>
    </w:rPr>
  </w:style>
  <w:style w:type="paragraph" w:customStyle="1" w:styleId="rptappendixtext">
    <w:name w:val="rpt_appendix_text"/>
    <w:basedOn w:val="Normal"/>
    <w:qFormat/>
    <w:rsid w:val="003F412F"/>
  </w:style>
  <w:style w:type="paragraph" w:customStyle="1" w:styleId="rptappendixobservationsheader2">
    <w:name w:val="rpt_appendix_observations_header_2"/>
    <w:basedOn w:val="Normal"/>
    <w:qFormat/>
    <w:rsid w:val="003F412F"/>
    <w:pPr>
      <w:keepNext/>
      <w:spacing w:before="240"/>
      <w:ind w:left="288"/>
    </w:pPr>
    <w:rPr>
      <w:b/>
      <w:i/>
      <w:szCs w:val="20"/>
    </w:rPr>
  </w:style>
  <w:style w:type="paragraph" w:customStyle="1" w:styleId="Default">
    <w:name w:val="Default"/>
    <w:rsid w:val="003F412F"/>
    <w:pPr>
      <w:autoSpaceDE w:val="0"/>
      <w:autoSpaceDN w:val="0"/>
      <w:adjustRightInd w:val="0"/>
      <w:spacing w:after="0" w:line="240" w:lineRule="auto"/>
    </w:pPr>
    <w:rPr>
      <w:rFonts w:ascii="Times New Roman" w:eastAsiaTheme="minorEastAsia" w:hAnsi="Times New Roman" w:cs="Times New Roman"/>
      <w:color w:val="000000"/>
      <w:sz w:val="24"/>
      <w:szCs w:val="24"/>
    </w:rPr>
  </w:style>
  <w:style w:type="paragraph" w:styleId="NormalWeb">
    <w:name w:val="Normal (Web)"/>
    <w:basedOn w:val="Normal"/>
    <w:uiPriority w:val="99"/>
    <w:unhideWhenUsed/>
    <w:rsid w:val="003F412F"/>
    <w:pPr>
      <w:spacing w:before="100" w:beforeAutospacing="1" w:after="100" w:afterAutospacing="1"/>
    </w:pPr>
    <w:rPr>
      <w:rFonts w:eastAsiaTheme="minorEastAsia"/>
      <w:lang w:eastAsia="zh-CN"/>
    </w:rPr>
  </w:style>
  <w:style w:type="paragraph" w:customStyle="1" w:styleId="fn">
    <w:name w:val="fn"/>
    <w:basedOn w:val="rptappendixfootnotetext"/>
    <w:link w:val="fnChar"/>
    <w:qFormat/>
    <w:rsid w:val="003F412F"/>
  </w:style>
  <w:style w:type="character" w:customStyle="1" w:styleId="fnChar">
    <w:name w:val="fn Char"/>
    <w:aliases w:val="Footnote Text Char2,Footnote Text 1 Char, Char Char Char Char, Char Char Char Char Char Char, Char Char Char1 Char Char Char,ft Char,Footnote Text Char1 Char,Footnote Text Char Char1 Char,Footnote Text Char Char,Footnote Text1 Char Char"/>
    <w:basedOn w:val="rptappendixfootnotetextChar"/>
    <w:link w:val="fn"/>
    <w:rsid w:val="003F412F"/>
    <w:rPr>
      <w:rFonts w:ascii="Times New Roman" w:eastAsia="Times New Roman" w:hAnsi="Times New Roman" w:cs="Times New Roman"/>
      <w:sz w:val="20"/>
      <w:szCs w:val="24"/>
    </w:rPr>
  </w:style>
  <w:style w:type="paragraph" w:styleId="TOCHeading">
    <w:name w:val="TOC Heading"/>
    <w:basedOn w:val="Heading1"/>
    <w:next w:val="Normal"/>
    <w:uiPriority w:val="39"/>
    <w:unhideWhenUsed/>
    <w:qFormat/>
    <w:rsid w:val="003F412F"/>
    <w:pPr>
      <w:spacing w:line="276" w:lineRule="auto"/>
      <w:outlineLvl w:val="9"/>
    </w:pPr>
    <w:rPr>
      <w:lang w:eastAsia="ja-JP"/>
    </w:rPr>
  </w:style>
  <w:style w:type="paragraph" w:styleId="TOC3">
    <w:name w:val="toc 3"/>
    <w:basedOn w:val="Normal"/>
    <w:next w:val="Normal"/>
    <w:autoRedefine/>
    <w:uiPriority w:val="39"/>
    <w:unhideWhenUsed/>
    <w:qFormat/>
    <w:rsid w:val="00014558"/>
    <w:pPr>
      <w:spacing w:after="100"/>
      <w:ind w:left="480"/>
    </w:pPr>
  </w:style>
  <w:style w:type="paragraph" w:styleId="TOC4">
    <w:name w:val="toc 4"/>
    <w:basedOn w:val="Normal"/>
    <w:next w:val="Normal"/>
    <w:autoRedefine/>
    <w:uiPriority w:val="39"/>
    <w:unhideWhenUsed/>
    <w:rsid w:val="00014558"/>
    <w:pPr>
      <w:spacing w:after="100" w:line="259" w:lineRule="auto"/>
      <w:ind w:left="660"/>
    </w:pPr>
    <w:rPr>
      <w:rFonts w:asciiTheme="minorHAnsi" w:eastAsiaTheme="minorEastAsia" w:hAnsiTheme="minorHAnsi" w:cstheme="minorBidi"/>
      <w:sz w:val="22"/>
      <w:szCs w:val="22"/>
    </w:rPr>
  </w:style>
  <w:style w:type="paragraph" w:styleId="TOC5">
    <w:name w:val="toc 5"/>
    <w:basedOn w:val="Normal"/>
    <w:next w:val="Normal"/>
    <w:autoRedefine/>
    <w:uiPriority w:val="39"/>
    <w:unhideWhenUsed/>
    <w:rsid w:val="00014558"/>
    <w:pPr>
      <w:spacing w:after="100" w:line="259" w:lineRule="auto"/>
      <w:ind w:left="880"/>
    </w:pPr>
    <w:rPr>
      <w:rFonts w:asciiTheme="minorHAnsi" w:eastAsiaTheme="minorEastAsia" w:hAnsiTheme="minorHAnsi" w:cstheme="minorBidi"/>
      <w:sz w:val="22"/>
      <w:szCs w:val="22"/>
    </w:rPr>
  </w:style>
  <w:style w:type="paragraph" w:styleId="TOC6">
    <w:name w:val="toc 6"/>
    <w:basedOn w:val="Normal"/>
    <w:next w:val="Normal"/>
    <w:autoRedefine/>
    <w:uiPriority w:val="39"/>
    <w:unhideWhenUsed/>
    <w:rsid w:val="00014558"/>
    <w:pPr>
      <w:spacing w:after="100" w:line="259" w:lineRule="auto"/>
      <w:ind w:left="1100"/>
    </w:pPr>
    <w:rPr>
      <w:rFonts w:asciiTheme="minorHAnsi" w:eastAsiaTheme="minorEastAsia" w:hAnsiTheme="minorHAnsi" w:cstheme="minorBidi"/>
      <w:sz w:val="22"/>
      <w:szCs w:val="22"/>
    </w:rPr>
  </w:style>
  <w:style w:type="paragraph" w:styleId="TOC7">
    <w:name w:val="toc 7"/>
    <w:basedOn w:val="Normal"/>
    <w:next w:val="Normal"/>
    <w:autoRedefine/>
    <w:uiPriority w:val="39"/>
    <w:unhideWhenUsed/>
    <w:rsid w:val="00014558"/>
    <w:pPr>
      <w:spacing w:after="100" w:line="259" w:lineRule="auto"/>
      <w:ind w:left="1320"/>
    </w:pPr>
    <w:rPr>
      <w:rFonts w:asciiTheme="minorHAnsi" w:eastAsiaTheme="minorEastAsia" w:hAnsiTheme="minorHAnsi" w:cstheme="minorBidi"/>
      <w:sz w:val="22"/>
      <w:szCs w:val="22"/>
    </w:rPr>
  </w:style>
  <w:style w:type="paragraph" w:styleId="TOC8">
    <w:name w:val="toc 8"/>
    <w:basedOn w:val="Normal"/>
    <w:next w:val="Normal"/>
    <w:autoRedefine/>
    <w:uiPriority w:val="39"/>
    <w:unhideWhenUsed/>
    <w:rsid w:val="00014558"/>
    <w:pPr>
      <w:spacing w:after="100" w:line="259" w:lineRule="auto"/>
      <w:ind w:left="1540"/>
    </w:pPr>
    <w:rPr>
      <w:rFonts w:asciiTheme="minorHAnsi" w:eastAsiaTheme="minorEastAsia" w:hAnsiTheme="minorHAnsi" w:cstheme="minorBidi"/>
      <w:sz w:val="22"/>
      <w:szCs w:val="22"/>
    </w:rPr>
  </w:style>
  <w:style w:type="paragraph" w:styleId="TOC9">
    <w:name w:val="toc 9"/>
    <w:basedOn w:val="Normal"/>
    <w:next w:val="Normal"/>
    <w:autoRedefine/>
    <w:uiPriority w:val="39"/>
    <w:unhideWhenUsed/>
    <w:rsid w:val="00014558"/>
    <w:pPr>
      <w:spacing w:after="100" w:line="259" w:lineRule="auto"/>
      <w:ind w:left="1760"/>
    </w:pPr>
    <w:rPr>
      <w:rFonts w:asciiTheme="minorHAnsi" w:eastAsiaTheme="minorEastAsia" w:hAnsiTheme="minorHAnsi" w:cstheme="minorBidi"/>
      <w:sz w:val="22"/>
      <w:szCs w:val="22"/>
    </w:rPr>
  </w:style>
  <w:style w:type="paragraph" w:customStyle="1" w:styleId="rptrecommendlist">
    <w:name w:val="rpt_recommend_list"/>
    <w:basedOn w:val="rptrecommendbullets3"/>
    <w:qFormat/>
    <w:rsid w:val="00C53510"/>
    <w:pPr>
      <w:ind w:left="0"/>
    </w:pPr>
  </w:style>
  <w:style w:type="paragraph" w:customStyle="1" w:styleId="Bullets">
    <w:name w:val="Bullets"/>
    <w:basedOn w:val="Normal"/>
    <w:next w:val="Normal"/>
    <w:link w:val="BulletsChar"/>
    <w:autoRedefine/>
    <w:qFormat/>
    <w:rsid w:val="004D61A0"/>
    <w:pPr>
      <w:numPr>
        <w:numId w:val="10"/>
      </w:numPr>
      <w:tabs>
        <w:tab w:val="left" w:pos="720"/>
      </w:tabs>
    </w:pPr>
    <w:rPr>
      <w:rFonts w:eastAsia="Calibri"/>
    </w:rPr>
  </w:style>
  <w:style w:type="character" w:customStyle="1" w:styleId="BulletsChar">
    <w:name w:val="Bullets Char"/>
    <w:link w:val="Bullets"/>
    <w:rsid w:val="004D61A0"/>
    <w:rPr>
      <w:rFonts w:ascii="Times New Roman" w:eastAsia="Calibri" w:hAnsi="Times New Roman" w:cs="Times New Roman"/>
      <w:sz w:val="24"/>
      <w:szCs w:val="24"/>
    </w:rPr>
  </w:style>
  <w:style w:type="paragraph" w:customStyle="1" w:styleId="MainText">
    <w:name w:val="MainText"/>
    <w:basedOn w:val="Normal"/>
    <w:qFormat/>
    <w:rsid w:val="004D61A0"/>
    <w:pPr>
      <w:spacing w:after="120" w:line="480" w:lineRule="auto"/>
      <w:ind w:firstLine="720"/>
      <w:contextualSpacing/>
    </w:pPr>
  </w:style>
  <w:style w:type="paragraph" w:customStyle="1" w:styleId="Footnote">
    <w:name w:val="Footnote"/>
    <w:basedOn w:val="FootnoteText"/>
    <w:qFormat/>
    <w:rsid w:val="004D61A0"/>
    <w:pPr>
      <w:spacing w:before="200"/>
      <w:ind w:left="360" w:hanging="360"/>
    </w:pPr>
  </w:style>
  <w:style w:type="character" w:styleId="SubtleEmphasis">
    <w:name w:val="Subtle Emphasis"/>
    <w:uiPriority w:val="99"/>
    <w:rsid w:val="004D61A0"/>
    <w:rPr>
      <w:i/>
      <w:color w:val="5A5A5A" w:themeColor="text1" w:themeTint="A5"/>
    </w:rPr>
  </w:style>
  <w:style w:type="paragraph" w:customStyle="1" w:styleId="AffidavitText">
    <w:name w:val="Affidavit Text"/>
    <w:basedOn w:val="Normal"/>
    <w:qFormat/>
    <w:rsid w:val="004D61A0"/>
    <w:pPr>
      <w:numPr>
        <w:numId w:val="11"/>
      </w:numPr>
      <w:spacing w:before="240" w:after="0" w:line="360" w:lineRule="auto"/>
    </w:pPr>
  </w:style>
  <w:style w:type="character" w:customStyle="1" w:styleId="apple-converted-space">
    <w:name w:val="apple-converted-space"/>
    <w:basedOn w:val="DefaultParagraphFont"/>
    <w:rsid w:val="004D61A0"/>
  </w:style>
  <w:style w:type="character" w:customStyle="1" w:styleId="il">
    <w:name w:val="il"/>
    <w:basedOn w:val="DefaultParagraphFont"/>
    <w:rsid w:val="004D61A0"/>
  </w:style>
  <w:style w:type="paragraph" w:customStyle="1" w:styleId="NYISOReport">
    <w:name w:val="NYISO_Report"/>
    <w:basedOn w:val="Header"/>
    <w:link w:val="NYISOReportChar"/>
    <w:qFormat/>
    <w:rsid w:val="00B15F38"/>
    <w:pPr>
      <w:spacing w:before="240"/>
    </w:pPr>
    <w:rPr>
      <w:b/>
      <w:noProof/>
      <w:color w:val="7F7F7F" w:themeColor="text1" w:themeTint="80"/>
      <w:sz w:val="22"/>
    </w:rPr>
  </w:style>
  <w:style w:type="paragraph" w:customStyle="1" w:styleId="NYISOAppendodd">
    <w:name w:val="NYISO_Append_odd"/>
    <w:basedOn w:val="NYISOReport"/>
    <w:link w:val="NYISOAppendoddChar"/>
    <w:qFormat/>
    <w:rsid w:val="00A3225D"/>
  </w:style>
  <w:style w:type="character" w:customStyle="1" w:styleId="NYISOReportChar">
    <w:name w:val="NYISO_Report Char"/>
    <w:basedOn w:val="HeaderChar"/>
    <w:link w:val="NYISOReport"/>
    <w:rsid w:val="00B15F38"/>
    <w:rPr>
      <w:rFonts w:ascii="Times New Roman" w:eastAsia="Times New Roman" w:hAnsi="Times New Roman" w:cs="Times New Roman"/>
      <w:b/>
      <w:noProof/>
      <w:color w:val="7F7F7F" w:themeColor="text1" w:themeTint="80"/>
      <w:sz w:val="24"/>
      <w:szCs w:val="24"/>
    </w:rPr>
  </w:style>
  <w:style w:type="paragraph" w:customStyle="1" w:styleId="NYISOBottomA">
    <w:name w:val="NYISO_Bottom_A"/>
    <w:basedOn w:val="Footer"/>
    <w:link w:val="NYISOBottomAChar"/>
    <w:qFormat/>
    <w:rsid w:val="00A616D9"/>
    <w:pPr>
      <w:tabs>
        <w:tab w:val="clear" w:pos="4680"/>
      </w:tabs>
    </w:pPr>
    <w:rPr>
      <w:b/>
      <w:noProof/>
      <w:color w:val="7F7F7F" w:themeColor="text1" w:themeTint="80"/>
      <w:sz w:val="22"/>
    </w:rPr>
  </w:style>
  <w:style w:type="character" w:customStyle="1" w:styleId="NYISOAppendoddChar">
    <w:name w:val="NYISO_Append_odd Char"/>
    <w:basedOn w:val="NYISOReportChar"/>
    <w:link w:val="NYISOAppendodd"/>
    <w:rsid w:val="00A3225D"/>
    <w:rPr>
      <w:rFonts w:ascii="Times New Roman" w:eastAsia="Times New Roman" w:hAnsi="Times New Roman" w:cs="Times New Roman"/>
      <w:b/>
      <w:noProof/>
      <w:color w:val="7F7F7F" w:themeColor="text1" w:themeTint="80"/>
      <w:sz w:val="24"/>
      <w:szCs w:val="24"/>
    </w:rPr>
  </w:style>
  <w:style w:type="paragraph" w:customStyle="1" w:styleId="NYISOBottomB">
    <w:name w:val="NYISO_Bottom_B"/>
    <w:basedOn w:val="Footer"/>
    <w:link w:val="NYISOBottomBChar"/>
    <w:qFormat/>
    <w:rsid w:val="00A616D9"/>
    <w:rPr>
      <w:b/>
      <w:noProof/>
      <w:color w:val="7F7F7F" w:themeColor="text1" w:themeTint="80"/>
      <w:sz w:val="22"/>
    </w:rPr>
  </w:style>
  <w:style w:type="character" w:customStyle="1" w:styleId="NYISOBottomAChar">
    <w:name w:val="NYISO_Bottom_A Char"/>
    <w:basedOn w:val="FooterChar"/>
    <w:link w:val="NYISOBottomA"/>
    <w:rsid w:val="00A616D9"/>
    <w:rPr>
      <w:rFonts w:ascii="Times New Roman" w:eastAsia="Times New Roman" w:hAnsi="Times New Roman" w:cs="Times New Roman"/>
      <w:b/>
      <w:noProof/>
      <w:color w:val="7F7F7F" w:themeColor="text1" w:themeTint="80"/>
      <w:sz w:val="24"/>
      <w:szCs w:val="24"/>
    </w:rPr>
  </w:style>
  <w:style w:type="paragraph" w:customStyle="1" w:styleId="NYISOBOTRight">
    <w:name w:val="NYISO_BOT_Right"/>
    <w:basedOn w:val="NYISOBottomB"/>
    <w:link w:val="NYISOBOTRightChar"/>
    <w:qFormat/>
    <w:rsid w:val="00D63BA2"/>
  </w:style>
  <w:style w:type="character" w:customStyle="1" w:styleId="NYISOBottomBChar">
    <w:name w:val="NYISO_Bottom_B Char"/>
    <w:basedOn w:val="FooterChar"/>
    <w:link w:val="NYISOBottomB"/>
    <w:rsid w:val="00A616D9"/>
    <w:rPr>
      <w:rFonts w:ascii="Times New Roman" w:eastAsia="Times New Roman" w:hAnsi="Times New Roman" w:cs="Times New Roman"/>
      <w:b/>
      <w:noProof/>
      <w:color w:val="7F7F7F" w:themeColor="text1" w:themeTint="80"/>
      <w:sz w:val="24"/>
      <w:szCs w:val="24"/>
    </w:rPr>
  </w:style>
  <w:style w:type="paragraph" w:customStyle="1" w:styleId="APPEVENSTYLETOP">
    <w:name w:val="APP_EVEN_STYLE_TOP"/>
    <w:basedOn w:val="Header"/>
    <w:link w:val="APPEVENSTYLETOPChar"/>
    <w:qFormat/>
    <w:rsid w:val="00426925"/>
    <w:pPr>
      <w:tabs>
        <w:tab w:val="clear" w:pos="4680"/>
      </w:tabs>
      <w:spacing w:before="180"/>
    </w:pPr>
    <w:rPr>
      <w:b/>
      <w:noProof/>
      <w:color w:val="7F7F7F" w:themeColor="text1" w:themeTint="80"/>
      <w:sz w:val="22"/>
    </w:rPr>
  </w:style>
  <w:style w:type="character" w:customStyle="1" w:styleId="NYISOBOTRightChar">
    <w:name w:val="NYISO_BOT_Right Char"/>
    <w:basedOn w:val="NYISOBottomBChar"/>
    <w:link w:val="NYISOBOTRight"/>
    <w:rsid w:val="00D63BA2"/>
    <w:rPr>
      <w:rFonts w:ascii="Times New Roman" w:eastAsia="Times New Roman" w:hAnsi="Times New Roman" w:cs="Times New Roman"/>
      <w:b/>
      <w:noProof/>
      <w:color w:val="7F7F7F" w:themeColor="text1" w:themeTint="80"/>
      <w:sz w:val="24"/>
      <w:szCs w:val="24"/>
    </w:rPr>
  </w:style>
  <w:style w:type="paragraph" w:customStyle="1" w:styleId="APPEVENSTYLEBOTTOM">
    <w:name w:val="APP_EVEN_STYLE_BOTTOM"/>
    <w:basedOn w:val="NYISOBottomA"/>
    <w:link w:val="APPEVENSTYLEBOTTOMChar"/>
    <w:qFormat/>
    <w:rsid w:val="00426925"/>
  </w:style>
  <w:style w:type="character" w:customStyle="1" w:styleId="APPEVENSTYLETOPChar">
    <w:name w:val="APP_EVEN_STYLE_TOP Char"/>
    <w:basedOn w:val="HeaderChar"/>
    <w:link w:val="APPEVENSTYLETOP"/>
    <w:rsid w:val="00426925"/>
    <w:rPr>
      <w:rFonts w:ascii="Times New Roman" w:eastAsia="Times New Roman" w:hAnsi="Times New Roman" w:cs="Times New Roman"/>
      <w:b/>
      <w:noProof/>
      <w:color w:val="7F7F7F" w:themeColor="text1" w:themeTint="80"/>
      <w:sz w:val="24"/>
      <w:szCs w:val="24"/>
    </w:rPr>
  </w:style>
  <w:style w:type="paragraph" w:customStyle="1" w:styleId="APPODDSTYLETOP">
    <w:name w:val="APP_ODD_STYLE_TOP"/>
    <w:basedOn w:val="Normal"/>
    <w:link w:val="APPODDSTYLETOPChar"/>
    <w:qFormat/>
    <w:rsid w:val="00426925"/>
    <w:pPr>
      <w:jc w:val="right"/>
    </w:pPr>
    <w:rPr>
      <w:b/>
      <w:noProof/>
      <w:color w:val="000000" w:themeColor="text1"/>
      <w:sz w:val="22"/>
      <w:szCs w:val="22"/>
      <w14:textFill>
        <w14:solidFill>
          <w14:schemeClr w14:val="tx1">
            <w14:lumMod w14:val="65000"/>
            <w14:lumOff w14:val="35000"/>
            <w14:lumMod w14:val="50000"/>
            <w14:lumOff w14:val="50000"/>
          </w14:schemeClr>
        </w14:solidFill>
      </w14:textFill>
    </w:rPr>
  </w:style>
  <w:style w:type="character" w:customStyle="1" w:styleId="APPEVENSTYLEBOTTOMChar">
    <w:name w:val="APP_EVEN_STYLE_BOTTOM Char"/>
    <w:basedOn w:val="NYISOBottomAChar"/>
    <w:link w:val="APPEVENSTYLEBOTTOM"/>
    <w:rsid w:val="00426925"/>
    <w:rPr>
      <w:rFonts w:ascii="Times New Roman" w:eastAsia="Times New Roman" w:hAnsi="Times New Roman" w:cs="Times New Roman"/>
      <w:b/>
      <w:noProof/>
      <w:color w:val="7F7F7F" w:themeColor="text1" w:themeTint="80"/>
      <w:sz w:val="24"/>
      <w:szCs w:val="24"/>
    </w:rPr>
  </w:style>
  <w:style w:type="paragraph" w:customStyle="1" w:styleId="APPODDSTYLEBOTTOM">
    <w:name w:val="APP_ODD_STYLE_BOTTOM"/>
    <w:basedOn w:val="NYISOBOTRight"/>
    <w:link w:val="APPODDSTYLEBOTTOMChar"/>
    <w:qFormat/>
    <w:rsid w:val="00750A84"/>
    <w:pPr>
      <w:jc w:val="right"/>
    </w:pPr>
    <w:rPr>
      <w:b w:val="0"/>
    </w:rPr>
  </w:style>
  <w:style w:type="character" w:customStyle="1" w:styleId="APPODDSTYLETOPChar">
    <w:name w:val="APP_ODD_STYLE_TOP Char"/>
    <w:basedOn w:val="DefaultParagraphFont"/>
    <w:link w:val="APPODDSTYLETOP"/>
    <w:rsid w:val="00426925"/>
    <w:rPr>
      <w:rFonts w:ascii="Times New Roman" w:eastAsia="Times New Roman" w:hAnsi="Times New Roman" w:cs="Times New Roman"/>
      <w:b/>
      <w:noProof/>
      <w:color w:val="000000" w:themeColor="text1"/>
      <w14:textFill>
        <w14:solidFill>
          <w14:schemeClr w14:val="tx1">
            <w14:lumMod w14:val="65000"/>
            <w14:lumOff w14:val="35000"/>
            <w14:lumMod w14:val="50000"/>
            <w14:lumOff w14:val="50000"/>
          </w14:schemeClr>
        </w14:solidFill>
      </w14:textFill>
    </w:rPr>
  </w:style>
  <w:style w:type="character" w:customStyle="1" w:styleId="APPODDSTYLEBOTTOMChar">
    <w:name w:val="APP_ODD_STYLE_BOTTOM Char"/>
    <w:basedOn w:val="NYISOBOTRightChar"/>
    <w:link w:val="APPODDSTYLEBOTTOM"/>
    <w:rsid w:val="00750A84"/>
    <w:rPr>
      <w:rFonts w:ascii="Times New Roman" w:eastAsia="Times New Roman" w:hAnsi="Times New Roman" w:cs="Times New Roman"/>
      <w:b w:val="0"/>
      <w:noProof/>
      <w:color w:val="7F7F7F" w:themeColor="text1" w:themeTint="80"/>
      <w:sz w:val="24"/>
      <w:szCs w:val="24"/>
    </w:rPr>
  </w:style>
  <w:style w:type="character" w:customStyle="1" w:styleId="FootnoteRef">
    <w:name w:val="Footnote Ref"/>
    <w:rsid w:val="00E31C9F"/>
    <w:rPr>
      <w:rFonts w:ascii="Times New Roman" w:hAnsi="Times New Roman"/>
      <w:b w:val="0"/>
      <w:i w:val="0"/>
      <w:sz w:val="24"/>
      <w:vertAlign w:val="superscript"/>
    </w:rPr>
  </w:style>
  <w:style w:type="paragraph" w:customStyle="1" w:styleId="RptFigure">
    <w:name w:val="Rpt_Figure"/>
    <w:basedOn w:val="Normal"/>
    <w:link w:val="RptFigureChar"/>
    <w:qFormat/>
    <w:rsid w:val="00E31C9F"/>
    <w:pPr>
      <w:spacing w:line="360" w:lineRule="auto"/>
      <w:jc w:val="center"/>
    </w:pPr>
    <w:rPr>
      <w:rFonts w:eastAsia="Calibri"/>
      <w:noProof/>
    </w:rPr>
  </w:style>
  <w:style w:type="paragraph" w:customStyle="1" w:styleId="rptFigureTitle1">
    <w:name w:val="rpt_Figure Title 1"/>
    <w:basedOn w:val="Normal"/>
    <w:qFormat/>
    <w:rsid w:val="00E31C9F"/>
    <w:pPr>
      <w:keepNext/>
      <w:spacing w:before="240" w:after="0"/>
      <w:jc w:val="center"/>
    </w:pPr>
    <w:rPr>
      <w:rFonts w:eastAsia="Calibri"/>
      <w:b/>
    </w:rPr>
  </w:style>
  <w:style w:type="paragraph" w:customStyle="1" w:styleId="rptFigureTitle2">
    <w:name w:val="rpt_Figure Title 2"/>
    <w:basedOn w:val="Normal"/>
    <w:qFormat/>
    <w:rsid w:val="00E31C9F"/>
    <w:pPr>
      <w:keepNext/>
      <w:spacing w:after="0"/>
      <w:jc w:val="center"/>
    </w:pPr>
    <w:rPr>
      <w:rFonts w:eastAsia="Calibri"/>
    </w:rPr>
  </w:style>
  <w:style w:type="character" w:customStyle="1" w:styleId="RptFigureChar">
    <w:name w:val="Rpt_Figure Char"/>
    <w:link w:val="RptFigure"/>
    <w:locked/>
    <w:rsid w:val="00E31C9F"/>
    <w:rPr>
      <w:rFonts w:ascii="Times New Roman" w:eastAsia="Calibri" w:hAnsi="Times New Roman" w:cs="Times New Roman"/>
      <w:noProof/>
      <w:sz w:val="24"/>
      <w:szCs w:val="24"/>
    </w:rPr>
  </w:style>
  <w:style w:type="paragraph" w:customStyle="1" w:styleId="Bullets1">
    <w:name w:val="Bullets 1"/>
    <w:basedOn w:val="Bullets"/>
    <w:autoRedefine/>
    <w:qFormat/>
    <w:rsid w:val="00E31C9F"/>
    <w:pPr>
      <w:spacing w:after="120"/>
    </w:pPr>
  </w:style>
  <w:style w:type="paragraph" w:customStyle="1" w:styleId="FinalFnt">
    <w:name w:val="FinalFnt"/>
    <w:basedOn w:val="Footnote"/>
    <w:qFormat/>
    <w:rsid w:val="00E31C9F"/>
    <w:pPr>
      <w:keepLines/>
      <w:autoSpaceDE w:val="0"/>
      <w:autoSpaceDN w:val="0"/>
      <w:adjustRightInd w:val="0"/>
      <w:spacing w:before="0"/>
      <w:ind w:left="720" w:hanging="720"/>
    </w:pPr>
  </w:style>
  <w:style w:type="paragraph" w:customStyle="1" w:styleId="Chapterheadin">
    <w:name w:val="Chapter headin"/>
    <w:basedOn w:val="Normal"/>
    <w:rsid w:val="00E31C9F"/>
    <w:pPr>
      <w:tabs>
        <w:tab w:val="num" w:pos="0"/>
      </w:tabs>
      <w:spacing w:before="240" w:after="120" w:line="360" w:lineRule="auto"/>
      <w:ind w:hanging="720"/>
    </w:pPr>
  </w:style>
  <w:style w:type="paragraph" w:customStyle="1" w:styleId="Figure">
    <w:name w:val="Figure"/>
    <w:basedOn w:val="Normal"/>
    <w:link w:val="FigureChar"/>
    <w:qFormat/>
    <w:rsid w:val="00E31C9F"/>
    <w:pPr>
      <w:spacing w:line="360" w:lineRule="auto"/>
      <w:jc w:val="center"/>
    </w:pPr>
    <w:rPr>
      <w:rFonts w:eastAsia="Calibri"/>
      <w:noProof/>
    </w:rPr>
  </w:style>
  <w:style w:type="paragraph" w:customStyle="1" w:styleId="FigureTitle1">
    <w:name w:val="Figure Title 1"/>
    <w:basedOn w:val="Normal"/>
    <w:qFormat/>
    <w:rsid w:val="00E31C9F"/>
    <w:pPr>
      <w:keepNext/>
      <w:spacing w:before="240" w:after="0"/>
      <w:jc w:val="center"/>
    </w:pPr>
    <w:rPr>
      <w:rFonts w:eastAsia="Calibri"/>
      <w:b/>
    </w:rPr>
  </w:style>
  <w:style w:type="paragraph" w:customStyle="1" w:styleId="FigureTitle2">
    <w:name w:val="Figure Title 2"/>
    <w:basedOn w:val="Normal"/>
    <w:qFormat/>
    <w:rsid w:val="00E31C9F"/>
    <w:pPr>
      <w:keepNext/>
      <w:spacing w:after="0"/>
      <w:jc w:val="center"/>
    </w:pPr>
    <w:rPr>
      <w:rFonts w:eastAsia="Calibri"/>
    </w:rPr>
  </w:style>
  <w:style w:type="character" w:customStyle="1" w:styleId="FigureChar">
    <w:name w:val="Figure Char"/>
    <w:link w:val="Figure"/>
    <w:locked/>
    <w:rsid w:val="00E31C9F"/>
    <w:rPr>
      <w:rFonts w:ascii="Times New Roman" w:eastAsia="Calibri" w:hAnsi="Times New Roman" w:cs="Times New Roman"/>
      <w:noProof/>
      <w:sz w:val="24"/>
      <w:szCs w:val="24"/>
    </w:rPr>
  </w:style>
  <w:style w:type="paragraph" w:customStyle="1" w:styleId="RecBullets">
    <w:name w:val="RecBullets"/>
    <w:basedOn w:val="Bullets"/>
    <w:qFormat/>
    <w:rsid w:val="00241339"/>
    <w:pPr>
      <w:numPr>
        <w:numId w:val="12"/>
      </w:numPr>
      <w:tabs>
        <w:tab w:val="clear" w:pos="720"/>
      </w:tabs>
      <w:spacing w:before="120" w:after="120"/>
    </w:pPr>
    <w:rPr>
      <w:rFonts w:eastAsia="Times New Roman"/>
    </w:rPr>
  </w:style>
  <w:style w:type="paragraph" w:customStyle="1" w:styleId="FigureCaptionNote">
    <w:name w:val="Figure Caption Note"/>
    <w:basedOn w:val="Normal"/>
    <w:rsid w:val="00966FC8"/>
    <w:pPr>
      <w:spacing w:before="120" w:after="120" w:line="360" w:lineRule="auto"/>
      <w:ind w:left="1620" w:hanging="540"/>
    </w:pPr>
    <w:rPr>
      <w:bCs/>
      <w:sz w:val="20"/>
    </w:rPr>
  </w:style>
  <w:style w:type="paragraph" w:customStyle="1" w:styleId="Bullets2">
    <w:name w:val="Bullets 2"/>
    <w:basedOn w:val="Normal"/>
    <w:autoRedefine/>
    <w:qFormat/>
    <w:rsid w:val="00966FC8"/>
    <w:pPr>
      <w:numPr>
        <w:numId w:val="14"/>
      </w:numPr>
      <w:tabs>
        <w:tab w:val="clear" w:pos="6912"/>
        <w:tab w:val="num" w:pos="1080"/>
      </w:tabs>
      <w:spacing w:before="60" w:after="0"/>
      <w:ind w:left="1080"/>
    </w:pPr>
  </w:style>
  <w:style w:type="paragraph" w:customStyle="1" w:styleId="Caption2Char">
    <w:name w:val="Caption_2 Char"/>
    <w:basedOn w:val="Normal"/>
    <w:rsid w:val="00966FC8"/>
    <w:pPr>
      <w:keepNext/>
      <w:spacing w:after="120" w:line="360" w:lineRule="auto"/>
      <w:jc w:val="center"/>
    </w:pPr>
    <w:rPr>
      <w:b/>
      <w:bCs/>
    </w:rPr>
  </w:style>
  <w:style w:type="paragraph" w:customStyle="1" w:styleId="BodyText">
    <w:name w:val="BodyText"/>
    <w:basedOn w:val="Normal"/>
    <w:qFormat/>
    <w:rsid w:val="00966FC8"/>
    <w:pPr>
      <w:spacing w:before="240" w:after="0"/>
    </w:pPr>
    <w:rPr>
      <w:color w:val="000000"/>
    </w:rPr>
  </w:style>
  <w:style w:type="paragraph" w:customStyle="1" w:styleId="BDYtXT">
    <w:name w:val="BDYtXT"/>
    <w:basedOn w:val="BodyText0"/>
    <w:qFormat/>
    <w:rsid w:val="00966FC8"/>
    <w:pPr>
      <w:spacing w:after="0" w:line="276" w:lineRule="auto"/>
      <w:ind w:firstLine="720"/>
    </w:pPr>
    <w:rPr>
      <w:spacing w:val="-1"/>
    </w:rPr>
  </w:style>
  <w:style w:type="paragraph" w:styleId="BodyText0">
    <w:name w:val="Body Text"/>
    <w:basedOn w:val="Normal"/>
    <w:link w:val="BodyTextChar"/>
    <w:semiHidden/>
    <w:unhideWhenUsed/>
    <w:rsid w:val="00966FC8"/>
    <w:pPr>
      <w:spacing w:after="120"/>
    </w:pPr>
  </w:style>
  <w:style w:type="character" w:customStyle="1" w:styleId="BodyTextChar">
    <w:name w:val="Body Text Char"/>
    <w:basedOn w:val="DefaultParagraphFont"/>
    <w:link w:val="BodyText0"/>
    <w:semiHidden/>
    <w:rsid w:val="00966FC8"/>
    <w:rPr>
      <w:rFonts w:ascii="Times New Roman" w:eastAsia="Times New Roman" w:hAnsi="Times New Roman" w:cs="Times New Roman"/>
      <w:sz w:val="24"/>
      <w:szCs w:val="24"/>
    </w:rPr>
  </w:style>
  <w:style w:type="paragraph" w:customStyle="1" w:styleId="LastFootnote">
    <w:name w:val="LastFootnote"/>
    <w:basedOn w:val="Footnote"/>
    <w:qFormat/>
    <w:rsid w:val="004C3633"/>
    <w:pPr>
      <w:keepLines/>
      <w:autoSpaceDE w:val="0"/>
      <w:autoSpaceDN w:val="0"/>
      <w:adjustRightInd w:val="0"/>
      <w:spacing w:before="0"/>
      <w:ind w:left="720" w:hanging="720"/>
    </w:pPr>
  </w:style>
  <w:style w:type="character" w:styleId="FollowedHyperlink">
    <w:name w:val="FollowedHyperlink"/>
    <w:basedOn w:val="DefaultParagraphFont"/>
    <w:semiHidden/>
    <w:unhideWhenUsed/>
    <w:rsid w:val="00F032DC"/>
    <w:rPr>
      <w:color w:val="800080" w:themeColor="followedHyperlink"/>
      <w:u w:val="single"/>
    </w:rPr>
  </w:style>
  <w:style w:type="character" w:customStyle="1" w:styleId="UnresolvedMention">
    <w:name w:val="Unresolved Mention"/>
    <w:basedOn w:val="DefaultParagraphFont"/>
    <w:uiPriority w:val="99"/>
    <w:semiHidden/>
    <w:unhideWhenUsed/>
    <w:rsid w:val="00FF74E5"/>
    <w:rPr>
      <w:color w:val="605E5C"/>
      <w:shd w:val="clear" w:color="auto" w:fill="E1DFDD"/>
    </w:rPr>
  </w:style>
  <w:style w:type="paragraph" w:customStyle="1" w:styleId="rptmainbodybullets2">
    <w:name w:val="rpt_mainbody_bullets_2"/>
    <w:basedOn w:val="rptmainbodybullets1"/>
    <w:next w:val="rptmainbodybullets1"/>
    <w:qFormat/>
    <w:rsid w:val="00D66306"/>
    <w:pPr>
      <w:numPr>
        <w:numId w:val="17"/>
      </w:numPr>
    </w:pPr>
    <w:rPr>
      <w:lang w:eastAsia="zh-CN"/>
    </w:rPr>
  </w:style>
  <w:style w:type="paragraph" w:styleId="Bibliography">
    <w:name w:val="Bibliography"/>
    <w:basedOn w:val="Normal"/>
    <w:next w:val="Normal"/>
    <w:uiPriority w:val="37"/>
    <w:semiHidden/>
    <w:unhideWhenUsed/>
    <w:rsid w:val="00167B18"/>
  </w:style>
  <w:style w:type="paragraph" w:styleId="BlockText">
    <w:name w:val="Block Text"/>
    <w:basedOn w:val="Normal"/>
    <w:uiPriority w:val="99"/>
    <w:semiHidden/>
    <w:unhideWhenUsed/>
    <w:rsid w:val="00167B18"/>
    <w:pPr>
      <w:pBdr>
        <w:top w:val="single" w:sz="2" w:space="10" w:color="4F81BD" w:themeColor="accent1"/>
        <w:left w:val="single" w:sz="2" w:space="10" w:color="4F81BD" w:themeColor="accent1"/>
        <w:bottom w:val="single" w:sz="2" w:space="10" w:color="4F81BD" w:themeColor="accent1"/>
        <w:right w:val="single" w:sz="2" w:space="10" w:color="4F81BD" w:themeColor="accent1"/>
      </w:pBdr>
      <w:ind w:left="1152" w:right="1152"/>
    </w:pPr>
    <w:rPr>
      <w:rFonts w:asciiTheme="minorHAnsi" w:eastAsiaTheme="minorEastAsia" w:hAnsiTheme="minorHAnsi" w:cstheme="minorBidi"/>
      <w:i/>
      <w:iCs/>
      <w:color w:val="4F81BD" w:themeColor="accent1"/>
    </w:rPr>
  </w:style>
  <w:style w:type="paragraph" w:styleId="BodyText2">
    <w:name w:val="Body Text 2"/>
    <w:basedOn w:val="Normal"/>
    <w:link w:val="BodyText2Char"/>
    <w:semiHidden/>
    <w:unhideWhenUsed/>
    <w:rsid w:val="00167B18"/>
    <w:pPr>
      <w:spacing w:after="120" w:line="480" w:lineRule="auto"/>
    </w:pPr>
  </w:style>
  <w:style w:type="character" w:customStyle="1" w:styleId="BodyText2Char">
    <w:name w:val="Body Text 2 Char"/>
    <w:basedOn w:val="DefaultParagraphFont"/>
    <w:link w:val="BodyText2"/>
    <w:semiHidden/>
    <w:rsid w:val="00167B18"/>
    <w:rPr>
      <w:rFonts w:ascii="Times New Roman" w:eastAsia="Times New Roman" w:hAnsi="Times New Roman" w:cs="Times New Roman"/>
      <w:sz w:val="24"/>
      <w:szCs w:val="24"/>
    </w:rPr>
  </w:style>
  <w:style w:type="paragraph" w:styleId="BodyText3">
    <w:name w:val="Body Text 3"/>
    <w:basedOn w:val="Normal"/>
    <w:link w:val="BodyText3Char"/>
    <w:uiPriority w:val="99"/>
    <w:semiHidden/>
    <w:unhideWhenUsed/>
    <w:rsid w:val="00167B18"/>
    <w:pPr>
      <w:spacing w:after="120"/>
    </w:pPr>
    <w:rPr>
      <w:sz w:val="16"/>
      <w:szCs w:val="16"/>
    </w:rPr>
  </w:style>
  <w:style w:type="character" w:customStyle="1" w:styleId="BodyText3Char">
    <w:name w:val="Body Text 3 Char"/>
    <w:basedOn w:val="DefaultParagraphFont"/>
    <w:link w:val="BodyText3"/>
    <w:uiPriority w:val="99"/>
    <w:semiHidden/>
    <w:rsid w:val="00167B18"/>
    <w:rPr>
      <w:rFonts w:ascii="Times New Roman" w:eastAsia="Times New Roman" w:hAnsi="Times New Roman" w:cs="Times New Roman"/>
      <w:sz w:val="16"/>
      <w:szCs w:val="16"/>
    </w:rPr>
  </w:style>
  <w:style w:type="paragraph" w:styleId="BodyTextFirstIndent">
    <w:name w:val="Body Text First Indent"/>
    <w:basedOn w:val="BodyText0"/>
    <w:link w:val="BodyTextFirstIndentChar"/>
    <w:uiPriority w:val="99"/>
    <w:semiHidden/>
    <w:unhideWhenUsed/>
    <w:rsid w:val="00167B18"/>
    <w:pPr>
      <w:spacing w:after="240"/>
      <w:ind w:firstLine="360"/>
    </w:pPr>
  </w:style>
  <w:style w:type="character" w:customStyle="1" w:styleId="BodyTextFirstIndentChar">
    <w:name w:val="Body Text First Indent Char"/>
    <w:basedOn w:val="BodyTextChar"/>
    <w:link w:val="BodyTextFirstIndent"/>
    <w:uiPriority w:val="99"/>
    <w:semiHidden/>
    <w:rsid w:val="00167B18"/>
    <w:rPr>
      <w:rFonts w:ascii="Times New Roman" w:eastAsia="Times New Roman" w:hAnsi="Times New Roman" w:cs="Times New Roman"/>
      <w:sz w:val="24"/>
      <w:szCs w:val="24"/>
    </w:rPr>
  </w:style>
  <w:style w:type="paragraph" w:styleId="BodyTextIndent">
    <w:name w:val="Body Text Indent"/>
    <w:basedOn w:val="Normal"/>
    <w:link w:val="BodyTextIndentChar"/>
    <w:semiHidden/>
    <w:unhideWhenUsed/>
    <w:rsid w:val="00167B18"/>
    <w:pPr>
      <w:spacing w:after="120"/>
      <w:ind w:left="360"/>
    </w:pPr>
  </w:style>
  <w:style w:type="character" w:customStyle="1" w:styleId="BodyTextIndentChar">
    <w:name w:val="Body Text Indent Char"/>
    <w:basedOn w:val="DefaultParagraphFont"/>
    <w:link w:val="BodyTextIndent"/>
    <w:semiHidden/>
    <w:rsid w:val="00167B18"/>
    <w:rPr>
      <w:rFonts w:ascii="Times New Roman" w:eastAsia="Times New Roman" w:hAnsi="Times New Roman" w:cs="Times New Roman"/>
      <w:sz w:val="24"/>
      <w:szCs w:val="24"/>
    </w:rPr>
  </w:style>
  <w:style w:type="paragraph" w:styleId="BodyTextFirstIndent2">
    <w:name w:val="Body Text First Indent 2"/>
    <w:basedOn w:val="BodyTextIndent"/>
    <w:link w:val="BodyTextFirstIndent2Char"/>
    <w:uiPriority w:val="99"/>
    <w:semiHidden/>
    <w:unhideWhenUsed/>
    <w:rsid w:val="00167B18"/>
    <w:pPr>
      <w:spacing w:after="240"/>
      <w:ind w:firstLine="360"/>
    </w:pPr>
  </w:style>
  <w:style w:type="character" w:customStyle="1" w:styleId="BodyTextFirstIndent2Char">
    <w:name w:val="Body Text First Indent 2 Char"/>
    <w:basedOn w:val="BodyTextIndentChar"/>
    <w:link w:val="BodyTextFirstIndent2"/>
    <w:uiPriority w:val="99"/>
    <w:semiHidden/>
    <w:rsid w:val="00167B18"/>
    <w:rPr>
      <w:rFonts w:ascii="Times New Roman" w:eastAsia="Times New Roman" w:hAnsi="Times New Roman" w:cs="Times New Roman"/>
      <w:sz w:val="24"/>
      <w:szCs w:val="24"/>
    </w:rPr>
  </w:style>
  <w:style w:type="paragraph" w:styleId="BodyTextIndent2">
    <w:name w:val="Body Text Indent 2"/>
    <w:basedOn w:val="Normal"/>
    <w:link w:val="BodyTextIndent2Char"/>
    <w:uiPriority w:val="99"/>
    <w:semiHidden/>
    <w:unhideWhenUsed/>
    <w:rsid w:val="00167B18"/>
    <w:pPr>
      <w:spacing w:after="120" w:line="480" w:lineRule="auto"/>
      <w:ind w:left="360"/>
    </w:pPr>
  </w:style>
  <w:style w:type="character" w:customStyle="1" w:styleId="BodyTextIndent2Char">
    <w:name w:val="Body Text Indent 2 Char"/>
    <w:basedOn w:val="DefaultParagraphFont"/>
    <w:link w:val="BodyTextIndent2"/>
    <w:uiPriority w:val="99"/>
    <w:semiHidden/>
    <w:rsid w:val="00167B18"/>
    <w:rPr>
      <w:rFonts w:ascii="Times New Roman" w:eastAsia="Times New Roman" w:hAnsi="Times New Roman" w:cs="Times New Roman"/>
      <w:sz w:val="24"/>
      <w:szCs w:val="24"/>
    </w:rPr>
  </w:style>
  <w:style w:type="paragraph" w:styleId="BodyTextIndent3">
    <w:name w:val="Body Text Indent 3"/>
    <w:basedOn w:val="Normal"/>
    <w:link w:val="BodyTextIndent3Char"/>
    <w:uiPriority w:val="99"/>
    <w:semiHidden/>
    <w:unhideWhenUsed/>
    <w:rsid w:val="00167B18"/>
    <w:pPr>
      <w:spacing w:after="120"/>
      <w:ind w:left="360"/>
    </w:pPr>
    <w:rPr>
      <w:sz w:val="16"/>
      <w:szCs w:val="16"/>
    </w:rPr>
  </w:style>
  <w:style w:type="character" w:customStyle="1" w:styleId="BodyTextIndent3Char">
    <w:name w:val="Body Text Indent 3 Char"/>
    <w:basedOn w:val="DefaultParagraphFont"/>
    <w:link w:val="BodyTextIndent3"/>
    <w:uiPriority w:val="99"/>
    <w:semiHidden/>
    <w:rsid w:val="00167B18"/>
    <w:rPr>
      <w:rFonts w:ascii="Times New Roman" w:eastAsia="Times New Roman" w:hAnsi="Times New Roman" w:cs="Times New Roman"/>
      <w:sz w:val="16"/>
      <w:szCs w:val="16"/>
    </w:rPr>
  </w:style>
  <w:style w:type="paragraph" w:styleId="Closing">
    <w:name w:val="Closing"/>
    <w:basedOn w:val="Normal"/>
    <w:link w:val="ClosingChar"/>
    <w:uiPriority w:val="99"/>
    <w:semiHidden/>
    <w:unhideWhenUsed/>
    <w:rsid w:val="00167B18"/>
    <w:pPr>
      <w:spacing w:after="0"/>
      <w:ind w:left="4320"/>
    </w:pPr>
  </w:style>
  <w:style w:type="character" w:customStyle="1" w:styleId="ClosingChar">
    <w:name w:val="Closing Char"/>
    <w:basedOn w:val="DefaultParagraphFont"/>
    <w:link w:val="Closing"/>
    <w:uiPriority w:val="99"/>
    <w:semiHidden/>
    <w:rsid w:val="00167B18"/>
    <w:rPr>
      <w:rFonts w:ascii="Times New Roman" w:eastAsia="Times New Roman" w:hAnsi="Times New Roman" w:cs="Times New Roman"/>
      <w:sz w:val="24"/>
      <w:szCs w:val="24"/>
    </w:rPr>
  </w:style>
  <w:style w:type="table" w:styleId="ColorfulGrid">
    <w:name w:val="Colorful Grid"/>
    <w:basedOn w:val="TableNormal"/>
    <w:uiPriority w:val="73"/>
    <w:semiHidden/>
    <w:unhideWhenUsed/>
    <w:rsid w:val="00167B18"/>
    <w:pPr>
      <w:spacing w:after="0" w:line="240" w:lineRule="auto"/>
    </w:pPr>
    <w:rPr>
      <w:color w:val="000000" w:themeColor="text1"/>
    </w:rPr>
    <w:tblPr>
      <w:tblStyleRowBandSize w:val="1"/>
      <w:tblStyleColBandSize w:val="1"/>
      <w:tblBorders>
        <w:insideH w:val="single" w:sz="4" w:space="0" w:color="FFFFFF" w:themeColor="background1"/>
      </w:tblBorders>
    </w:tblPr>
    <w:tcPr>
      <w:shd w:val="clear" w:color="auto" w:fill="CCCCCC" w:themeFill="text1" w:themeFillTint="33"/>
    </w:tcPr>
    <w:tblStylePr w:type="firstRow">
      <w:rPr>
        <w:b/>
        <w:bCs/>
      </w:rPr>
      <w:tblPr/>
      <w:tcPr>
        <w:shd w:val="clear" w:color="auto" w:fill="999999" w:themeFill="text1" w:themeFillTint="66"/>
      </w:tcPr>
    </w:tblStylePr>
    <w:tblStylePr w:type="lastRow">
      <w:rPr>
        <w:b/>
        <w:bCs/>
        <w:color w:val="000000" w:themeColor="text1"/>
      </w:rPr>
      <w:tblPr/>
      <w:tcPr>
        <w:shd w:val="clear" w:color="auto" w:fill="999999" w:themeFill="text1" w:themeFillTint="66"/>
      </w:tcPr>
    </w:tblStylePr>
    <w:tblStylePr w:type="firstCol">
      <w:rPr>
        <w:color w:val="FFFFFF" w:themeColor="background1"/>
      </w:rPr>
      <w:tblPr/>
      <w:tcPr>
        <w:shd w:val="clear" w:color="auto" w:fill="000000" w:themeFill="text1" w:themeFillShade="BF"/>
      </w:tcPr>
    </w:tblStylePr>
    <w:tblStylePr w:type="lastCol">
      <w:rPr>
        <w:color w:val="FFFFFF" w:themeColor="background1"/>
      </w:rPr>
      <w:tblPr/>
      <w:tcPr>
        <w:shd w:val="clear" w:color="auto" w:fill="000000" w:themeFill="text1" w:themeFillShade="BF"/>
      </w:tcPr>
    </w:tblStylePr>
    <w:tblStylePr w:type="band1Vert">
      <w:tblPr/>
      <w:tcPr>
        <w:shd w:val="clear" w:color="auto" w:fill="808080" w:themeFill="text1" w:themeFillTint="7F"/>
      </w:tcPr>
    </w:tblStylePr>
    <w:tblStylePr w:type="band1Horz">
      <w:tblPr/>
      <w:tcPr>
        <w:shd w:val="clear" w:color="auto" w:fill="808080" w:themeFill="text1" w:themeFillTint="7F"/>
      </w:tcPr>
    </w:tblStylePr>
  </w:style>
  <w:style w:type="table" w:styleId="ColorfulGrid-Accent1">
    <w:name w:val="Colorful Grid Accent 1"/>
    <w:basedOn w:val="TableNormal"/>
    <w:uiPriority w:val="73"/>
    <w:semiHidden/>
    <w:unhideWhenUsed/>
    <w:rsid w:val="00167B18"/>
    <w:pPr>
      <w:spacing w:after="0" w:line="240" w:lineRule="auto"/>
    </w:pPr>
    <w:rPr>
      <w:color w:val="000000" w:themeColor="text1"/>
    </w:rPr>
    <w:tblPr>
      <w:tblStyleRowBandSize w:val="1"/>
      <w:tblStyleColBandSize w:val="1"/>
      <w:tblBorders>
        <w:insideH w:val="single" w:sz="4" w:space="0" w:color="FFFFFF" w:themeColor="background1"/>
      </w:tblBorders>
    </w:tblPr>
    <w:tcPr>
      <w:shd w:val="clear" w:color="auto" w:fill="DBE5F1" w:themeFill="accent1" w:themeFillTint="33"/>
    </w:tcPr>
    <w:tblStylePr w:type="firstRow">
      <w:rPr>
        <w:b/>
        <w:bCs/>
      </w:rPr>
      <w:tblPr/>
      <w:tcPr>
        <w:shd w:val="clear" w:color="auto" w:fill="B8CCE4" w:themeFill="accent1" w:themeFillTint="66"/>
      </w:tcPr>
    </w:tblStylePr>
    <w:tblStylePr w:type="lastRow">
      <w:rPr>
        <w:b/>
        <w:bCs/>
        <w:color w:val="000000" w:themeColor="text1"/>
      </w:rPr>
      <w:tblPr/>
      <w:tcPr>
        <w:shd w:val="clear" w:color="auto" w:fill="B8CCE4" w:themeFill="accent1" w:themeFillTint="66"/>
      </w:tcPr>
    </w:tblStylePr>
    <w:tblStylePr w:type="firstCol">
      <w:rPr>
        <w:color w:val="FFFFFF" w:themeColor="background1"/>
      </w:rPr>
      <w:tblPr/>
      <w:tcPr>
        <w:shd w:val="clear" w:color="auto" w:fill="365F91" w:themeFill="accent1" w:themeFillShade="BF"/>
      </w:tcPr>
    </w:tblStylePr>
    <w:tblStylePr w:type="lastCol">
      <w:rPr>
        <w:color w:val="FFFFFF" w:themeColor="background1"/>
      </w:rPr>
      <w:tblPr/>
      <w:tcPr>
        <w:shd w:val="clear" w:color="auto" w:fill="365F91" w:themeFill="accent1" w:themeFillShade="BF"/>
      </w:tcPr>
    </w:tblStylePr>
    <w:tblStylePr w:type="band1Vert">
      <w:tblPr/>
      <w:tcPr>
        <w:shd w:val="clear" w:color="auto" w:fill="A7BFDE" w:themeFill="accent1" w:themeFillTint="7F"/>
      </w:tcPr>
    </w:tblStylePr>
    <w:tblStylePr w:type="band1Horz">
      <w:tblPr/>
      <w:tcPr>
        <w:shd w:val="clear" w:color="auto" w:fill="A7BFDE" w:themeFill="accent1" w:themeFillTint="7F"/>
      </w:tcPr>
    </w:tblStylePr>
  </w:style>
  <w:style w:type="table" w:styleId="ColorfulGrid-Accent2">
    <w:name w:val="Colorful Grid Accent 2"/>
    <w:basedOn w:val="TableNormal"/>
    <w:uiPriority w:val="73"/>
    <w:semiHidden/>
    <w:unhideWhenUsed/>
    <w:rsid w:val="00167B18"/>
    <w:pPr>
      <w:spacing w:after="0" w:line="240" w:lineRule="auto"/>
    </w:pPr>
    <w:rPr>
      <w:color w:val="000000" w:themeColor="text1"/>
    </w:rPr>
    <w:tblPr>
      <w:tblStyleRowBandSize w:val="1"/>
      <w:tblStyleColBandSize w:val="1"/>
      <w:tblBorders>
        <w:insideH w:val="single" w:sz="4" w:space="0" w:color="FFFFFF" w:themeColor="background1"/>
      </w:tblBorders>
    </w:tblPr>
    <w:tcPr>
      <w:shd w:val="clear" w:color="auto" w:fill="F2DBDB" w:themeFill="accent2" w:themeFillTint="33"/>
    </w:tcPr>
    <w:tblStylePr w:type="firstRow">
      <w:rPr>
        <w:b/>
        <w:bCs/>
      </w:rPr>
      <w:tblPr/>
      <w:tcPr>
        <w:shd w:val="clear" w:color="auto" w:fill="E5B8B7" w:themeFill="accent2" w:themeFillTint="66"/>
      </w:tcPr>
    </w:tblStylePr>
    <w:tblStylePr w:type="lastRow">
      <w:rPr>
        <w:b/>
        <w:bCs/>
        <w:color w:val="000000" w:themeColor="text1"/>
      </w:rPr>
      <w:tblPr/>
      <w:tcPr>
        <w:shd w:val="clear" w:color="auto" w:fill="E5B8B7" w:themeFill="accent2" w:themeFillTint="66"/>
      </w:tcPr>
    </w:tblStylePr>
    <w:tblStylePr w:type="firstCol">
      <w:rPr>
        <w:color w:val="FFFFFF" w:themeColor="background1"/>
      </w:rPr>
      <w:tblPr/>
      <w:tcPr>
        <w:shd w:val="clear" w:color="auto" w:fill="943634" w:themeFill="accent2" w:themeFillShade="BF"/>
      </w:tcPr>
    </w:tblStylePr>
    <w:tblStylePr w:type="lastCol">
      <w:rPr>
        <w:color w:val="FFFFFF" w:themeColor="background1"/>
      </w:rPr>
      <w:tblPr/>
      <w:tcPr>
        <w:shd w:val="clear" w:color="auto" w:fill="943634" w:themeFill="accent2" w:themeFillShade="BF"/>
      </w:tcPr>
    </w:tblStylePr>
    <w:tblStylePr w:type="band1Vert">
      <w:tblPr/>
      <w:tcPr>
        <w:shd w:val="clear" w:color="auto" w:fill="DFA7A6" w:themeFill="accent2" w:themeFillTint="7F"/>
      </w:tcPr>
    </w:tblStylePr>
    <w:tblStylePr w:type="band1Horz">
      <w:tblPr/>
      <w:tcPr>
        <w:shd w:val="clear" w:color="auto" w:fill="DFA7A6" w:themeFill="accent2" w:themeFillTint="7F"/>
      </w:tcPr>
    </w:tblStylePr>
  </w:style>
  <w:style w:type="table" w:styleId="ColorfulGrid-Accent3">
    <w:name w:val="Colorful Grid Accent 3"/>
    <w:basedOn w:val="TableNormal"/>
    <w:uiPriority w:val="73"/>
    <w:semiHidden/>
    <w:unhideWhenUsed/>
    <w:rsid w:val="00167B18"/>
    <w:pPr>
      <w:spacing w:after="0" w:line="240" w:lineRule="auto"/>
    </w:pPr>
    <w:rPr>
      <w:color w:val="000000" w:themeColor="text1"/>
    </w:rPr>
    <w:tblPr>
      <w:tblStyleRowBandSize w:val="1"/>
      <w:tblStyleColBandSize w:val="1"/>
      <w:tblBorders>
        <w:insideH w:val="single" w:sz="4" w:space="0" w:color="FFFFFF" w:themeColor="background1"/>
      </w:tblBorders>
    </w:tblPr>
    <w:tcPr>
      <w:shd w:val="clear" w:color="auto" w:fill="EAF1DD" w:themeFill="accent3" w:themeFillTint="33"/>
    </w:tcPr>
    <w:tblStylePr w:type="firstRow">
      <w:rPr>
        <w:b/>
        <w:bCs/>
      </w:rPr>
      <w:tblPr/>
      <w:tcPr>
        <w:shd w:val="clear" w:color="auto" w:fill="D6E3BC" w:themeFill="accent3" w:themeFillTint="66"/>
      </w:tcPr>
    </w:tblStylePr>
    <w:tblStylePr w:type="lastRow">
      <w:rPr>
        <w:b/>
        <w:bCs/>
        <w:color w:val="000000" w:themeColor="text1"/>
      </w:rPr>
      <w:tblPr/>
      <w:tcPr>
        <w:shd w:val="clear" w:color="auto" w:fill="D6E3BC" w:themeFill="accent3" w:themeFillTint="66"/>
      </w:tcPr>
    </w:tblStylePr>
    <w:tblStylePr w:type="firstCol">
      <w:rPr>
        <w:color w:val="FFFFFF" w:themeColor="background1"/>
      </w:rPr>
      <w:tblPr/>
      <w:tcPr>
        <w:shd w:val="clear" w:color="auto" w:fill="76923C" w:themeFill="accent3" w:themeFillShade="BF"/>
      </w:tcPr>
    </w:tblStylePr>
    <w:tblStylePr w:type="lastCol">
      <w:rPr>
        <w:color w:val="FFFFFF" w:themeColor="background1"/>
      </w:rPr>
      <w:tblPr/>
      <w:tcPr>
        <w:shd w:val="clear" w:color="auto" w:fill="76923C" w:themeFill="accent3" w:themeFillShade="BF"/>
      </w:tcPr>
    </w:tblStylePr>
    <w:tblStylePr w:type="band1Vert">
      <w:tblPr/>
      <w:tcPr>
        <w:shd w:val="clear" w:color="auto" w:fill="CDDDAC" w:themeFill="accent3" w:themeFillTint="7F"/>
      </w:tcPr>
    </w:tblStylePr>
    <w:tblStylePr w:type="band1Horz">
      <w:tblPr/>
      <w:tcPr>
        <w:shd w:val="clear" w:color="auto" w:fill="CDDDAC" w:themeFill="accent3" w:themeFillTint="7F"/>
      </w:tcPr>
    </w:tblStylePr>
  </w:style>
  <w:style w:type="table" w:styleId="ColorfulGrid-Accent4">
    <w:name w:val="Colorful Grid Accent 4"/>
    <w:basedOn w:val="TableNormal"/>
    <w:uiPriority w:val="73"/>
    <w:semiHidden/>
    <w:unhideWhenUsed/>
    <w:rsid w:val="00167B18"/>
    <w:pPr>
      <w:spacing w:after="0" w:line="240" w:lineRule="auto"/>
    </w:pPr>
    <w:rPr>
      <w:color w:val="000000" w:themeColor="text1"/>
    </w:rPr>
    <w:tblPr>
      <w:tblStyleRowBandSize w:val="1"/>
      <w:tblStyleColBandSize w:val="1"/>
      <w:tblBorders>
        <w:insideH w:val="single" w:sz="4" w:space="0" w:color="FFFFFF" w:themeColor="background1"/>
      </w:tblBorders>
    </w:tblPr>
    <w:tcPr>
      <w:shd w:val="clear" w:color="auto" w:fill="E5DFEC" w:themeFill="accent4" w:themeFillTint="33"/>
    </w:tcPr>
    <w:tblStylePr w:type="firstRow">
      <w:rPr>
        <w:b/>
        <w:bCs/>
      </w:rPr>
      <w:tblPr/>
      <w:tcPr>
        <w:shd w:val="clear" w:color="auto" w:fill="CCC0D9" w:themeFill="accent4" w:themeFillTint="66"/>
      </w:tcPr>
    </w:tblStylePr>
    <w:tblStylePr w:type="lastRow">
      <w:rPr>
        <w:b/>
        <w:bCs/>
        <w:color w:val="000000" w:themeColor="text1"/>
      </w:rPr>
      <w:tblPr/>
      <w:tcPr>
        <w:shd w:val="clear" w:color="auto" w:fill="CCC0D9" w:themeFill="accent4" w:themeFillTint="66"/>
      </w:tcPr>
    </w:tblStylePr>
    <w:tblStylePr w:type="firstCol">
      <w:rPr>
        <w:color w:val="FFFFFF" w:themeColor="background1"/>
      </w:rPr>
      <w:tblPr/>
      <w:tcPr>
        <w:shd w:val="clear" w:color="auto" w:fill="5F497A" w:themeFill="accent4" w:themeFillShade="BF"/>
      </w:tcPr>
    </w:tblStylePr>
    <w:tblStylePr w:type="lastCol">
      <w:rPr>
        <w:color w:val="FFFFFF" w:themeColor="background1"/>
      </w:rPr>
      <w:tblPr/>
      <w:tcPr>
        <w:shd w:val="clear" w:color="auto" w:fill="5F497A" w:themeFill="accent4" w:themeFillShade="BF"/>
      </w:tcPr>
    </w:tblStylePr>
    <w:tblStylePr w:type="band1Vert">
      <w:tblPr/>
      <w:tcPr>
        <w:shd w:val="clear" w:color="auto" w:fill="BFB1D0" w:themeFill="accent4" w:themeFillTint="7F"/>
      </w:tcPr>
    </w:tblStylePr>
    <w:tblStylePr w:type="band1Horz">
      <w:tblPr/>
      <w:tcPr>
        <w:shd w:val="clear" w:color="auto" w:fill="BFB1D0" w:themeFill="accent4" w:themeFillTint="7F"/>
      </w:tcPr>
    </w:tblStylePr>
  </w:style>
  <w:style w:type="table" w:styleId="ColorfulGrid-Accent5">
    <w:name w:val="Colorful Grid Accent 5"/>
    <w:basedOn w:val="TableNormal"/>
    <w:uiPriority w:val="73"/>
    <w:semiHidden/>
    <w:unhideWhenUsed/>
    <w:rsid w:val="00167B18"/>
    <w:pPr>
      <w:spacing w:after="0" w:line="240" w:lineRule="auto"/>
    </w:pPr>
    <w:rPr>
      <w:color w:val="000000" w:themeColor="text1"/>
    </w:rPr>
    <w:tblPr>
      <w:tblStyleRowBandSize w:val="1"/>
      <w:tblStyleColBandSize w:val="1"/>
      <w:tblBorders>
        <w:insideH w:val="single" w:sz="4" w:space="0" w:color="FFFFFF" w:themeColor="background1"/>
      </w:tblBorders>
    </w:tblPr>
    <w:tcPr>
      <w:shd w:val="clear" w:color="auto" w:fill="DAEEF3" w:themeFill="accent5" w:themeFillTint="33"/>
    </w:tcPr>
    <w:tblStylePr w:type="firstRow">
      <w:rPr>
        <w:b/>
        <w:bCs/>
      </w:rPr>
      <w:tblPr/>
      <w:tcPr>
        <w:shd w:val="clear" w:color="auto" w:fill="B6DDE8" w:themeFill="accent5" w:themeFillTint="66"/>
      </w:tcPr>
    </w:tblStylePr>
    <w:tblStylePr w:type="lastRow">
      <w:rPr>
        <w:b/>
        <w:bCs/>
        <w:color w:val="000000" w:themeColor="text1"/>
      </w:rPr>
      <w:tblPr/>
      <w:tcPr>
        <w:shd w:val="clear" w:color="auto" w:fill="B6DDE8" w:themeFill="accent5" w:themeFillTint="66"/>
      </w:tcPr>
    </w:tblStylePr>
    <w:tblStylePr w:type="firstCol">
      <w:rPr>
        <w:color w:val="FFFFFF" w:themeColor="background1"/>
      </w:rPr>
      <w:tblPr/>
      <w:tcPr>
        <w:shd w:val="clear" w:color="auto" w:fill="31849B" w:themeFill="accent5" w:themeFillShade="BF"/>
      </w:tcPr>
    </w:tblStylePr>
    <w:tblStylePr w:type="lastCol">
      <w:rPr>
        <w:color w:val="FFFFFF" w:themeColor="background1"/>
      </w:rPr>
      <w:tblPr/>
      <w:tcPr>
        <w:shd w:val="clear" w:color="auto" w:fill="31849B" w:themeFill="accent5" w:themeFillShade="BF"/>
      </w:tcPr>
    </w:tblStylePr>
    <w:tblStylePr w:type="band1Vert">
      <w:tblPr/>
      <w:tcPr>
        <w:shd w:val="clear" w:color="auto" w:fill="A5D5E2" w:themeFill="accent5" w:themeFillTint="7F"/>
      </w:tcPr>
    </w:tblStylePr>
    <w:tblStylePr w:type="band1Horz">
      <w:tblPr/>
      <w:tcPr>
        <w:shd w:val="clear" w:color="auto" w:fill="A5D5E2" w:themeFill="accent5" w:themeFillTint="7F"/>
      </w:tcPr>
    </w:tblStylePr>
  </w:style>
  <w:style w:type="table" w:styleId="ColorfulGrid-Accent6">
    <w:name w:val="Colorful Grid Accent 6"/>
    <w:basedOn w:val="TableNormal"/>
    <w:uiPriority w:val="73"/>
    <w:semiHidden/>
    <w:unhideWhenUsed/>
    <w:rsid w:val="00167B18"/>
    <w:pPr>
      <w:spacing w:after="0" w:line="240" w:lineRule="auto"/>
    </w:pPr>
    <w:rPr>
      <w:color w:val="000000" w:themeColor="text1"/>
    </w:rPr>
    <w:tblPr>
      <w:tblStyleRowBandSize w:val="1"/>
      <w:tblStyleColBandSize w:val="1"/>
      <w:tblBorders>
        <w:insideH w:val="single" w:sz="4" w:space="0" w:color="FFFFFF" w:themeColor="background1"/>
      </w:tblBorders>
    </w:tblPr>
    <w:tcPr>
      <w:shd w:val="clear" w:color="auto" w:fill="FDE9D9" w:themeFill="accent6" w:themeFillTint="33"/>
    </w:tcPr>
    <w:tblStylePr w:type="firstRow">
      <w:rPr>
        <w:b/>
        <w:bCs/>
      </w:rPr>
      <w:tblPr/>
      <w:tcPr>
        <w:shd w:val="clear" w:color="auto" w:fill="FBD4B4" w:themeFill="accent6" w:themeFillTint="66"/>
      </w:tcPr>
    </w:tblStylePr>
    <w:tblStylePr w:type="lastRow">
      <w:rPr>
        <w:b/>
        <w:bCs/>
        <w:color w:val="000000" w:themeColor="text1"/>
      </w:rPr>
      <w:tblPr/>
      <w:tcPr>
        <w:shd w:val="clear" w:color="auto" w:fill="FBD4B4" w:themeFill="accent6" w:themeFillTint="66"/>
      </w:tcPr>
    </w:tblStylePr>
    <w:tblStylePr w:type="firstCol">
      <w:rPr>
        <w:color w:val="FFFFFF" w:themeColor="background1"/>
      </w:rPr>
      <w:tblPr/>
      <w:tcPr>
        <w:shd w:val="clear" w:color="auto" w:fill="E36C0A" w:themeFill="accent6" w:themeFillShade="BF"/>
      </w:tcPr>
    </w:tblStylePr>
    <w:tblStylePr w:type="lastCol">
      <w:rPr>
        <w:color w:val="FFFFFF" w:themeColor="background1"/>
      </w:rPr>
      <w:tblPr/>
      <w:tcPr>
        <w:shd w:val="clear" w:color="auto" w:fill="E36C0A" w:themeFill="accent6" w:themeFillShade="BF"/>
      </w:tcPr>
    </w:tblStylePr>
    <w:tblStylePr w:type="band1Vert">
      <w:tblPr/>
      <w:tcPr>
        <w:shd w:val="clear" w:color="auto" w:fill="FBCAA2" w:themeFill="accent6" w:themeFillTint="7F"/>
      </w:tcPr>
    </w:tblStylePr>
    <w:tblStylePr w:type="band1Horz">
      <w:tblPr/>
      <w:tcPr>
        <w:shd w:val="clear" w:color="auto" w:fill="FBCAA2" w:themeFill="accent6" w:themeFillTint="7F"/>
      </w:tcPr>
    </w:tblStylePr>
  </w:style>
  <w:style w:type="table" w:styleId="ColorfulList">
    <w:name w:val="Colorful List"/>
    <w:basedOn w:val="TableNormal"/>
    <w:uiPriority w:val="72"/>
    <w:semiHidden/>
    <w:unhideWhenUsed/>
    <w:rsid w:val="00167B18"/>
    <w:pPr>
      <w:spacing w:after="0" w:line="240" w:lineRule="auto"/>
    </w:pPr>
    <w:rPr>
      <w:color w:val="000000" w:themeColor="text1"/>
    </w:rPr>
    <w:tblPr>
      <w:tblStyleRowBandSize w:val="1"/>
      <w:tblStyleColBandSize w:val="1"/>
    </w:tblPr>
    <w:tcPr>
      <w:shd w:val="clear" w:color="auto" w:fill="E6E6E6" w:themeFill="text1" w:themeFillTint="19"/>
    </w:tcPr>
    <w:tblStylePr w:type="firstRow">
      <w:rPr>
        <w:b/>
        <w:bCs/>
        <w:color w:val="FFFFFF" w:themeColor="background1"/>
      </w:rPr>
      <w:tblPr/>
      <w:tcPr>
        <w:tcBorders>
          <w:bottom w:val="single" w:sz="12" w:space="0" w:color="FFFFFF" w:themeColor="background1"/>
        </w:tcBorders>
        <w:shd w:val="clear" w:color="auto" w:fill="9E3A38" w:themeFill="accent2" w:themeFillShade="CC"/>
      </w:tcPr>
    </w:tblStylePr>
    <w:tblStylePr w:type="lastRow">
      <w:rPr>
        <w:b/>
        <w:bCs/>
        <w:color w:val="9E3A38" w:themeColor="accent2" w:themeShade="CC"/>
      </w:rPr>
      <w:tblPr/>
      <w:tcPr>
        <w:tcBorders>
          <w:top w:val="single" w:sz="12" w:space="0" w:color="000000" w:themeColor="text1"/>
        </w:tcBorders>
        <w:shd w:val="clear" w:color="auto" w:fill="FFFFFF" w:themeFill="background1"/>
      </w:tcPr>
    </w:tblStylePr>
    <w:tblStylePr w:type="firstCol">
      <w:rPr>
        <w:b/>
        <w:bCs/>
      </w:rPr>
    </w:tblStylePr>
    <w:tblStylePr w:type="lastCol">
      <w:rPr>
        <w:b/>
        <w:bCs/>
      </w:rPr>
    </w:tblStylePr>
    <w:tblStylePr w:type="band1Vert">
      <w:tblPr/>
      <w:tcPr>
        <w:tcBorders>
          <w:top w:val="nil"/>
          <w:left w:val="nil"/>
          <w:bottom w:val="nil"/>
          <w:right w:val="nil"/>
          <w:insideH w:val="nil"/>
          <w:insideV w:val="nil"/>
        </w:tcBorders>
        <w:shd w:val="clear" w:color="auto" w:fill="C0C0C0" w:themeFill="text1" w:themeFillTint="3F"/>
      </w:tcPr>
    </w:tblStylePr>
    <w:tblStylePr w:type="band1Horz">
      <w:tblPr/>
      <w:tcPr>
        <w:shd w:val="clear" w:color="auto" w:fill="CCCCCC" w:themeFill="text1" w:themeFillTint="33"/>
      </w:tcPr>
    </w:tblStylePr>
  </w:style>
  <w:style w:type="table" w:styleId="ColorfulList-Accent1">
    <w:name w:val="Colorful List Accent 1"/>
    <w:basedOn w:val="TableNormal"/>
    <w:uiPriority w:val="72"/>
    <w:semiHidden/>
    <w:unhideWhenUsed/>
    <w:rsid w:val="00167B18"/>
    <w:pPr>
      <w:spacing w:after="0" w:line="240" w:lineRule="auto"/>
    </w:pPr>
    <w:rPr>
      <w:color w:val="000000" w:themeColor="text1"/>
    </w:rPr>
    <w:tblPr>
      <w:tblStyleRowBandSize w:val="1"/>
      <w:tblStyleColBandSize w:val="1"/>
    </w:tblPr>
    <w:tcPr>
      <w:shd w:val="clear" w:color="auto" w:fill="EDF2F8" w:themeFill="accent1" w:themeFillTint="19"/>
    </w:tcPr>
    <w:tblStylePr w:type="firstRow">
      <w:rPr>
        <w:b/>
        <w:bCs/>
        <w:color w:val="FFFFFF" w:themeColor="background1"/>
      </w:rPr>
      <w:tblPr/>
      <w:tcPr>
        <w:tcBorders>
          <w:bottom w:val="single" w:sz="12" w:space="0" w:color="FFFFFF" w:themeColor="background1"/>
        </w:tcBorders>
        <w:shd w:val="clear" w:color="auto" w:fill="9E3A38" w:themeFill="accent2" w:themeFillShade="CC"/>
      </w:tcPr>
    </w:tblStylePr>
    <w:tblStylePr w:type="lastRow">
      <w:rPr>
        <w:b/>
        <w:bCs/>
        <w:color w:val="9E3A38" w:themeColor="accent2" w:themeShade="CC"/>
      </w:rPr>
      <w:tblPr/>
      <w:tcPr>
        <w:tcBorders>
          <w:top w:val="single" w:sz="12" w:space="0" w:color="000000" w:themeColor="text1"/>
        </w:tcBorders>
        <w:shd w:val="clear" w:color="auto" w:fill="FFFFFF" w:themeFill="background1"/>
      </w:tcPr>
    </w:tblStylePr>
    <w:tblStylePr w:type="firstCol">
      <w:rPr>
        <w:b/>
        <w:bCs/>
      </w:rPr>
    </w:tblStylePr>
    <w:tblStylePr w:type="lastCol">
      <w:rPr>
        <w:b/>
        <w:bCs/>
      </w:rPr>
    </w:tblStylePr>
    <w:tblStylePr w:type="band1Vert">
      <w:tblPr/>
      <w:tcPr>
        <w:tcBorders>
          <w:top w:val="nil"/>
          <w:left w:val="nil"/>
          <w:bottom w:val="nil"/>
          <w:right w:val="nil"/>
          <w:insideH w:val="nil"/>
          <w:insideV w:val="nil"/>
        </w:tcBorders>
        <w:shd w:val="clear" w:color="auto" w:fill="D3DFEE" w:themeFill="accent1" w:themeFillTint="3F"/>
      </w:tcPr>
    </w:tblStylePr>
    <w:tblStylePr w:type="band1Horz">
      <w:tblPr/>
      <w:tcPr>
        <w:shd w:val="clear" w:color="auto" w:fill="DBE5F1" w:themeFill="accent1" w:themeFillTint="33"/>
      </w:tcPr>
    </w:tblStylePr>
  </w:style>
  <w:style w:type="table" w:styleId="ColorfulList-Accent2">
    <w:name w:val="Colorful List Accent 2"/>
    <w:basedOn w:val="TableNormal"/>
    <w:uiPriority w:val="72"/>
    <w:semiHidden/>
    <w:unhideWhenUsed/>
    <w:rsid w:val="00167B18"/>
    <w:pPr>
      <w:spacing w:after="0" w:line="240" w:lineRule="auto"/>
    </w:pPr>
    <w:rPr>
      <w:color w:val="000000" w:themeColor="text1"/>
    </w:rPr>
    <w:tblPr>
      <w:tblStyleRowBandSize w:val="1"/>
      <w:tblStyleColBandSize w:val="1"/>
    </w:tblPr>
    <w:tcPr>
      <w:shd w:val="clear" w:color="auto" w:fill="F8EDED" w:themeFill="accent2" w:themeFillTint="19"/>
    </w:tcPr>
    <w:tblStylePr w:type="firstRow">
      <w:rPr>
        <w:b/>
        <w:bCs/>
        <w:color w:val="FFFFFF" w:themeColor="background1"/>
      </w:rPr>
      <w:tblPr/>
      <w:tcPr>
        <w:tcBorders>
          <w:bottom w:val="single" w:sz="12" w:space="0" w:color="FFFFFF" w:themeColor="background1"/>
        </w:tcBorders>
        <w:shd w:val="clear" w:color="auto" w:fill="9E3A38" w:themeFill="accent2" w:themeFillShade="CC"/>
      </w:tcPr>
    </w:tblStylePr>
    <w:tblStylePr w:type="lastRow">
      <w:rPr>
        <w:b/>
        <w:bCs/>
        <w:color w:val="9E3A38" w:themeColor="accent2" w:themeShade="CC"/>
      </w:rPr>
      <w:tblPr/>
      <w:tcPr>
        <w:tcBorders>
          <w:top w:val="single" w:sz="12" w:space="0" w:color="000000" w:themeColor="text1"/>
        </w:tcBorders>
        <w:shd w:val="clear" w:color="auto" w:fill="FFFFFF" w:themeFill="background1"/>
      </w:tcPr>
    </w:tblStylePr>
    <w:tblStylePr w:type="firstCol">
      <w:rPr>
        <w:b/>
        <w:bCs/>
      </w:rPr>
    </w:tblStylePr>
    <w:tblStylePr w:type="lastCol">
      <w:rPr>
        <w:b/>
        <w:bCs/>
      </w:rPr>
    </w:tblStylePr>
    <w:tblStylePr w:type="band1Vert">
      <w:tblPr/>
      <w:tcPr>
        <w:tcBorders>
          <w:top w:val="nil"/>
          <w:left w:val="nil"/>
          <w:bottom w:val="nil"/>
          <w:right w:val="nil"/>
          <w:insideH w:val="nil"/>
          <w:insideV w:val="nil"/>
        </w:tcBorders>
        <w:shd w:val="clear" w:color="auto" w:fill="EFD3D2" w:themeFill="accent2" w:themeFillTint="3F"/>
      </w:tcPr>
    </w:tblStylePr>
    <w:tblStylePr w:type="band1Horz">
      <w:tblPr/>
      <w:tcPr>
        <w:shd w:val="clear" w:color="auto" w:fill="F2DBDB" w:themeFill="accent2" w:themeFillTint="33"/>
      </w:tcPr>
    </w:tblStylePr>
  </w:style>
  <w:style w:type="table" w:styleId="ColorfulList-Accent3">
    <w:name w:val="Colorful List Accent 3"/>
    <w:basedOn w:val="TableNormal"/>
    <w:uiPriority w:val="72"/>
    <w:semiHidden/>
    <w:unhideWhenUsed/>
    <w:rsid w:val="00167B18"/>
    <w:pPr>
      <w:spacing w:after="0" w:line="240" w:lineRule="auto"/>
    </w:pPr>
    <w:rPr>
      <w:color w:val="000000" w:themeColor="text1"/>
    </w:rPr>
    <w:tblPr>
      <w:tblStyleRowBandSize w:val="1"/>
      <w:tblStyleColBandSize w:val="1"/>
    </w:tblPr>
    <w:tcPr>
      <w:shd w:val="clear" w:color="auto" w:fill="F5F8EE" w:themeFill="accent3" w:themeFillTint="19"/>
    </w:tcPr>
    <w:tblStylePr w:type="firstRow">
      <w:rPr>
        <w:b/>
        <w:bCs/>
        <w:color w:val="FFFFFF" w:themeColor="background1"/>
      </w:rPr>
      <w:tblPr/>
      <w:tcPr>
        <w:tcBorders>
          <w:bottom w:val="single" w:sz="12" w:space="0" w:color="FFFFFF" w:themeColor="background1"/>
        </w:tcBorders>
        <w:shd w:val="clear" w:color="auto" w:fill="664E82" w:themeFill="accent4" w:themeFillShade="CC"/>
      </w:tcPr>
    </w:tblStylePr>
    <w:tblStylePr w:type="lastRow">
      <w:rPr>
        <w:b/>
        <w:bCs/>
        <w:color w:val="664E82" w:themeColor="accent4" w:themeShade="CC"/>
      </w:rPr>
      <w:tblPr/>
      <w:tcPr>
        <w:tcBorders>
          <w:top w:val="single" w:sz="12" w:space="0" w:color="000000" w:themeColor="text1"/>
        </w:tcBorders>
        <w:shd w:val="clear" w:color="auto" w:fill="FFFFFF" w:themeFill="background1"/>
      </w:tcPr>
    </w:tblStylePr>
    <w:tblStylePr w:type="firstCol">
      <w:rPr>
        <w:b/>
        <w:bCs/>
      </w:rPr>
    </w:tblStylePr>
    <w:tblStylePr w:type="lastCol">
      <w:rPr>
        <w:b/>
        <w:bCs/>
      </w:rPr>
    </w:tblStylePr>
    <w:tblStylePr w:type="band1Vert">
      <w:tblPr/>
      <w:tcPr>
        <w:tcBorders>
          <w:top w:val="nil"/>
          <w:left w:val="nil"/>
          <w:bottom w:val="nil"/>
          <w:right w:val="nil"/>
          <w:insideH w:val="nil"/>
          <w:insideV w:val="nil"/>
        </w:tcBorders>
        <w:shd w:val="clear" w:color="auto" w:fill="E6EED5" w:themeFill="accent3" w:themeFillTint="3F"/>
      </w:tcPr>
    </w:tblStylePr>
    <w:tblStylePr w:type="band1Horz">
      <w:tblPr/>
      <w:tcPr>
        <w:shd w:val="clear" w:color="auto" w:fill="EAF1DD" w:themeFill="accent3" w:themeFillTint="33"/>
      </w:tcPr>
    </w:tblStylePr>
  </w:style>
  <w:style w:type="table" w:styleId="ColorfulList-Accent4">
    <w:name w:val="Colorful List Accent 4"/>
    <w:basedOn w:val="TableNormal"/>
    <w:uiPriority w:val="72"/>
    <w:semiHidden/>
    <w:unhideWhenUsed/>
    <w:rsid w:val="00167B18"/>
    <w:pPr>
      <w:spacing w:after="0" w:line="240" w:lineRule="auto"/>
    </w:pPr>
    <w:rPr>
      <w:color w:val="000000" w:themeColor="text1"/>
    </w:rPr>
    <w:tblPr>
      <w:tblStyleRowBandSize w:val="1"/>
      <w:tblStyleColBandSize w:val="1"/>
    </w:tblPr>
    <w:tcPr>
      <w:shd w:val="clear" w:color="auto" w:fill="F2EFF6" w:themeFill="accent4" w:themeFillTint="19"/>
    </w:tcPr>
    <w:tblStylePr w:type="firstRow">
      <w:rPr>
        <w:b/>
        <w:bCs/>
        <w:color w:val="FFFFFF" w:themeColor="background1"/>
      </w:rPr>
      <w:tblPr/>
      <w:tcPr>
        <w:tcBorders>
          <w:bottom w:val="single" w:sz="12" w:space="0" w:color="FFFFFF" w:themeColor="background1"/>
        </w:tcBorders>
        <w:shd w:val="clear" w:color="auto" w:fill="7E9C40" w:themeFill="accent3" w:themeFillShade="CC"/>
      </w:tcPr>
    </w:tblStylePr>
    <w:tblStylePr w:type="lastRow">
      <w:rPr>
        <w:b/>
        <w:bCs/>
        <w:color w:val="7E9C40" w:themeColor="accent3" w:themeShade="CC"/>
      </w:rPr>
      <w:tblPr/>
      <w:tcPr>
        <w:tcBorders>
          <w:top w:val="single" w:sz="12" w:space="0" w:color="000000" w:themeColor="text1"/>
        </w:tcBorders>
        <w:shd w:val="clear" w:color="auto" w:fill="FFFFFF" w:themeFill="background1"/>
      </w:tcPr>
    </w:tblStylePr>
    <w:tblStylePr w:type="firstCol">
      <w:rPr>
        <w:b/>
        <w:bCs/>
      </w:rPr>
    </w:tblStylePr>
    <w:tblStylePr w:type="lastCol">
      <w:rPr>
        <w:b/>
        <w:bCs/>
      </w:rPr>
    </w:tblStylePr>
    <w:tblStylePr w:type="band1Vert">
      <w:tblPr/>
      <w:tcPr>
        <w:tcBorders>
          <w:top w:val="nil"/>
          <w:left w:val="nil"/>
          <w:bottom w:val="nil"/>
          <w:right w:val="nil"/>
          <w:insideH w:val="nil"/>
          <w:insideV w:val="nil"/>
        </w:tcBorders>
        <w:shd w:val="clear" w:color="auto" w:fill="DFD8E8" w:themeFill="accent4" w:themeFillTint="3F"/>
      </w:tcPr>
    </w:tblStylePr>
    <w:tblStylePr w:type="band1Horz">
      <w:tblPr/>
      <w:tcPr>
        <w:shd w:val="clear" w:color="auto" w:fill="E5DFEC" w:themeFill="accent4" w:themeFillTint="33"/>
      </w:tcPr>
    </w:tblStylePr>
  </w:style>
  <w:style w:type="table" w:styleId="ColorfulList-Accent5">
    <w:name w:val="Colorful List Accent 5"/>
    <w:basedOn w:val="TableNormal"/>
    <w:uiPriority w:val="72"/>
    <w:semiHidden/>
    <w:unhideWhenUsed/>
    <w:rsid w:val="00167B18"/>
    <w:pPr>
      <w:spacing w:after="0" w:line="240" w:lineRule="auto"/>
    </w:pPr>
    <w:rPr>
      <w:color w:val="000000" w:themeColor="text1"/>
    </w:rPr>
    <w:tblPr>
      <w:tblStyleRowBandSize w:val="1"/>
      <w:tblStyleColBandSize w:val="1"/>
    </w:tblPr>
    <w:tcPr>
      <w:shd w:val="clear" w:color="auto" w:fill="EDF6F9" w:themeFill="accent5" w:themeFillTint="19"/>
    </w:tcPr>
    <w:tblStylePr w:type="firstRow">
      <w:rPr>
        <w:b/>
        <w:bCs/>
        <w:color w:val="FFFFFF" w:themeColor="background1"/>
      </w:rPr>
      <w:tblPr/>
      <w:tcPr>
        <w:tcBorders>
          <w:bottom w:val="single" w:sz="12" w:space="0" w:color="FFFFFF" w:themeColor="background1"/>
        </w:tcBorders>
        <w:shd w:val="clear" w:color="auto" w:fill="F2730A" w:themeFill="accent6" w:themeFillShade="CC"/>
      </w:tcPr>
    </w:tblStylePr>
    <w:tblStylePr w:type="lastRow">
      <w:rPr>
        <w:b/>
        <w:bCs/>
        <w:color w:val="F2730A" w:themeColor="accent6" w:themeShade="CC"/>
      </w:rPr>
      <w:tblPr/>
      <w:tcPr>
        <w:tcBorders>
          <w:top w:val="single" w:sz="12" w:space="0" w:color="000000" w:themeColor="text1"/>
        </w:tcBorders>
        <w:shd w:val="clear" w:color="auto" w:fill="FFFFFF" w:themeFill="background1"/>
      </w:tcPr>
    </w:tblStylePr>
    <w:tblStylePr w:type="firstCol">
      <w:rPr>
        <w:b/>
        <w:bCs/>
      </w:rPr>
    </w:tblStylePr>
    <w:tblStylePr w:type="lastCol">
      <w:rPr>
        <w:b/>
        <w:bCs/>
      </w:rPr>
    </w:tblStylePr>
    <w:tblStylePr w:type="band1Vert">
      <w:tblPr/>
      <w:tcPr>
        <w:tcBorders>
          <w:top w:val="nil"/>
          <w:left w:val="nil"/>
          <w:bottom w:val="nil"/>
          <w:right w:val="nil"/>
          <w:insideH w:val="nil"/>
          <w:insideV w:val="nil"/>
        </w:tcBorders>
        <w:shd w:val="clear" w:color="auto" w:fill="D2EAF1" w:themeFill="accent5" w:themeFillTint="3F"/>
      </w:tcPr>
    </w:tblStylePr>
    <w:tblStylePr w:type="band1Horz">
      <w:tblPr/>
      <w:tcPr>
        <w:shd w:val="clear" w:color="auto" w:fill="DAEEF3" w:themeFill="accent5" w:themeFillTint="33"/>
      </w:tcPr>
    </w:tblStylePr>
  </w:style>
  <w:style w:type="table" w:styleId="ColorfulList-Accent6">
    <w:name w:val="Colorful List Accent 6"/>
    <w:basedOn w:val="TableNormal"/>
    <w:uiPriority w:val="72"/>
    <w:semiHidden/>
    <w:unhideWhenUsed/>
    <w:rsid w:val="00167B18"/>
    <w:pPr>
      <w:spacing w:after="0" w:line="240" w:lineRule="auto"/>
    </w:pPr>
    <w:rPr>
      <w:color w:val="000000" w:themeColor="text1"/>
    </w:rPr>
    <w:tblPr>
      <w:tblStyleRowBandSize w:val="1"/>
      <w:tblStyleColBandSize w:val="1"/>
    </w:tblPr>
    <w:tcPr>
      <w:shd w:val="clear" w:color="auto" w:fill="FEF4EC" w:themeFill="accent6" w:themeFillTint="19"/>
    </w:tcPr>
    <w:tblStylePr w:type="firstRow">
      <w:rPr>
        <w:b/>
        <w:bCs/>
        <w:color w:val="FFFFFF" w:themeColor="background1"/>
      </w:rPr>
      <w:tblPr/>
      <w:tcPr>
        <w:tcBorders>
          <w:bottom w:val="single" w:sz="12" w:space="0" w:color="FFFFFF" w:themeColor="background1"/>
        </w:tcBorders>
        <w:shd w:val="clear" w:color="auto" w:fill="348DA5" w:themeFill="accent5" w:themeFillShade="CC"/>
      </w:tcPr>
    </w:tblStylePr>
    <w:tblStylePr w:type="lastRow">
      <w:rPr>
        <w:b/>
        <w:bCs/>
        <w:color w:val="348DA5" w:themeColor="accent5" w:themeShade="CC"/>
      </w:rPr>
      <w:tblPr/>
      <w:tcPr>
        <w:tcBorders>
          <w:top w:val="single" w:sz="12" w:space="0" w:color="000000" w:themeColor="text1"/>
        </w:tcBorders>
        <w:shd w:val="clear" w:color="auto" w:fill="FFFFFF" w:themeFill="background1"/>
      </w:tcPr>
    </w:tblStylePr>
    <w:tblStylePr w:type="firstCol">
      <w:rPr>
        <w:b/>
        <w:bCs/>
      </w:rPr>
    </w:tblStylePr>
    <w:tblStylePr w:type="lastCol">
      <w:rPr>
        <w:b/>
        <w:bCs/>
      </w:rPr>
    </w:tblStylePr>
    <w:tblStylePr w:type="band1Vert">
      <w:tblPr/>
      <w:tcPr>
        <w:tcBorders>
          <w:top w:val="nil"/>
          <w:left w:val="nil"/>
          <w:bottom w:val="nil"/>
          <w:right w:val="nil"/>
          <w:insideH w:val="nil"/>
          <w:insideV w:val="nil"/>
        </w:tcBorders>
        <w:shd w:val="clear" w:color="auto" w:fill="FDE4D0" w:themeFill="accent6" w:themeFillTint="3F"/>
      </w:tcPr>
    </w:tblStylePr>
    <w:tblStylePr w:type="band1Horz">
      <w:tblPr/>
      <w:tcPr>
        <w:shd w:val="clear" w:color="auto" w:fill="FDE9D9" w:themeFill="accent6" w:themeFillTint="33"/>
      </w:tcPr>
    </w:tblStylePr>
  </w:style>
  <w:style w:type="table" w:styleId="ColorfulShading">
    <w:name w:val="Colorful Shading"/>
    <w:basedOn w:val="TableNormal"/>
    <w:uiPriority w:val="71"/>
    <w:semiHidden/>
    <w:unhideWhenUsed/>
    <w:rsid w:val="00167B18"/>
    <w:pPr>
      <w:spacing w:after="0" w:line="240" w:lineRule="auto"/>
    </w:pPr>
    <w:rPr>
      <w:color w:val="000000" w:themeColor="text1"/>
    </w:rPr>
    <w:tblPr>
      <w:tblStyleRowBandSize w:val="1"/>
      <w:tblStyleColBandSize w:val="1"/>
      <w:tblBorders>
        <w:top w:val="single" w:sz="24" w:space="0" w:color="C0504D" w:themeColor="accent2"/>
        <w:left w:val="single" w:sz="4" w:space="0" w:color="000000" w:themeColor="text1"/>
        <w:bottom w:val="single" w:sz="4" w:space="0" w:color="000000" w:themeColor="text1"/>
        <w:right w:val="single" w:sz="4" w:space="0" w:color="000000" w:themeColor="text1"/>
        <w:insideH w:val="single" w:sz="4" w:space="0" w:color="FFFFFF" w:themeColor="background1"/>
        <w:insideV w:val="single" w:sz="4" w:space="0" w:color="FFFFFF" w:themeColor="background1"/>
      </w:tblBorders>
    </w:tblPr>
    <w:tcPr>
      <w:shd w:val="clear" w:color="auto" w:fill="E6E6E6" w:themeFill="text1" w:themeFillTint="19"/>
    </w:tcPr>
    <w:tblStylePr w:type="firstRow">
      <w:rPr>
        <w:b/>
        <w:bCs/>
      </w:rPr>
      <w:tblPr/>
      <w:tcPr>
        <w:tcBorders>
          <w:top w:val="nil"/>
          <w:left w:val="nil"/>
          <w:bottom w:val="single" w:sz="24" w:space="0" w:color="C0504D" w:themeColor="accent2"/>
          <w:right w:val="nil"/>
          <w:insideH w:val="nil"/>
          <w:insideV w:val="nil"/>
        </w:tcBorders>
        <w:shd w:val="clear" w:color="auto" w:fill="FFFFFF" w:themeFill="background1"/>
      </w:tcPr>
    </w:tblStylePr>
    <w:tblStylePr w:type="lastRow">
      <w:rPr>
        <w:b/>
        <w:bCs/>
        <w:color w:val="FFFFFF" w:themeColor="background1"/>
      </w:rPr>
      <w:tblPr/>
      <w:tcPr>
        <w:tcBorders>
          <w:top w:val="single" w:sz="6" w:space="0" w:color="FFFFFF" w:themeColor="background1"/>
        </w:tcBorders>
        <w:shd w:val="clear" w:color="auto" w:fill="000000" w:themeFill="text1" w:themeFillShade="99"/>
      </w:tcPr>
    </w:tblStylePr>
    <w:tblStylePr w:type="firstCol">
      <w:rPr>
        <w:color w:val="FFFFFF" w:themeColor="background1"/>
      </w:rPr>
      <w:tblPr/>
      <w:tcPr>
        <w:tcBorders>
          <w:top w:val="nil"/>
          <w:left w:val="nil"/>
          <w:bottom w:val="nil"/>
          <w:right w:val="nil"/>
          <w:insideH w:val="single" w:sz="4" w:space="0" w:color="000000" w:themeColor="text1" w:themeShade="99"/>
          <w:insideV w:val="nil"/>
        </w:tcBorders>
        <w:shd w:val="clear" w:color="auto" w:fill="000000" w:themeFill="text1" w:themeFillShade="99"/>
      </w:tcPr>
    </w:tblStylePr>
    <w:tblStylePr w:type="lastCol">
      <w:rPr>
        <w:color w:val="FFFFFF" w:themeColor="background1"/>
      </w:rPr>
      <w:tblPr/>
      <w:tcPr>
        <w:tcBorders>
          <w:top w:val="nil"/>
          <w:left w:val="nil"/>
          <w:bottom w:val="nil"/>
          <w:right w:val="nil"/>
          <w:insideH w:val="nil"/>
          <w:insideV w:val="nil"/>
        </w:tcBorders>
        <w:shd w:val="clear" w:color="auto" w:fill="000000" w:themeFill="text1" w:themeFillShade="BF"/>
      </w:tcPr>
    </w:tblStylePr>
    <w:tblStylePr w:type="band1Vert">
      <w:tblPr/>
      <w:tcPr>
        <w:shd w:val="clear" w:color="auto" w:fill="999999" w:themeFill="text1" w:themeFillTint="66"/>
      </w:tcPr>
    </w:tblStylePr>
    <w:tblStylePr w:type="band1Horz">
      <w:tblPr/>
      <w:tcPr>
        <w:shd w:val="clear" w:color="auto" w:fill="808080" w:themeFill="text1" w:themeFillTint="7F"/>
      </w:tcPr>
    </w:tblStylePr>
    <w:tblStylePr w:type="neCell">
      <w:rPr>
        <w:color w:val="000000" w:themeColor="text1"/>
      </w:rPr>
    </w:tblStylePr>
    <w:tblStylePr w:type="nwCell">
      <w:rPr>
        <w:color w:val="000000" w:themeColor="text1"/>
      </w:rPr>
    </w:tblStylePr>
  </w:style>
  <w:style w:type="table" w:styleId="ColorfulShading-Accent1">
    <w:name w:val="Colorful Shading Accent 1"/>
    <w:basedOn w:val="TableNormal"/>
    <w:uiPriority w:val="71"/>
    <w:semiHidden/>
    <w:unhideWhenUsed/>
    <w:rsid w:val="00167B18"/>
    <w:pPr>
      <w:spacing w:after="0" w:line="240" w:lineRule="auto"/>
    </w:pPr>
    <w:rPr>
      <w:color w:val="000000" w:themeColor="text1"/>
    </w:rPr>
    <w:tblPr>
      <w:tblStyleRowBandSize w:val="1"/>
      <w:tblStyleColBandSize w:val="1"/>
      <w:tblBorders>
        <w:top w:val="single" w:sz="24" w:space="0" w:color="C0504D" w:themeColor="accent2"/>
        <w:left w:val="single" w:sz="4" w:space="0" w:color="4F81BD" w:themeColor="accent1"/>
        <w:bottom w:val="single" w:sz="4" w:space="0" w:color="4F81BD" w:themeColor="accent1"/>
        <w:right w:val="single" w:sz="4" w:space="0" w:color="4F81BD" w:themeColor="accent1"/>
        <w:insideH w:val="single" w:sz="4" w:space="0" w:color="FFFFFF" w:themeColor="background1"/>
        <w:insideV w:val="single" w:sz="4" w:space="0" w:color="FFFFFF" w:themeColor="background1"/>
      </w:tblBorders>
    </w:tblPr>
    <w:tcPr>
      <w:shd w:val="clear" w:color="auto" w:fill="EDF2F8" w:themeFill="accent1" w:themeFillTint="19"/>
    </w:tcPr>
    <w:tblStylePr w:type="firstRow">
      <w:rPr>
        <w:b/>
        <w:bCs/>
      </w:rPr>
      <w:tblPr/>
      <w:tcPr>
        <w:tcBorders>
          <w:top w:val="nil"/>
          <w:left w:val="nil"/>
          <w:bottom w:val="single" w:sz="24" w:space="0" w:color="C0504D" w:themeColor="accent2"/>
          <w:right w:val="nil"/>
          <w:insideH w:val="nil"/>
          <w:insideV w:val="nil"/>
        </w:tcBorders>
        <w:shd w:val="clear" w:color="auto" w:fill="FFFFFF" w:themeFill="background1"/>
      </w:tcPr>
    </w:tblStylePr>
    <w:tblStylePr w:type="lastRow">
      <w:rPr>
        <w:b/>
        <w:bCs/>
        <w:color w:val="FFFFFF" w:themeColor="background1"/>
      </w:rPr>
      <w:tblPr/>
      <w:tcPr>
        <w:tcBorders>
          <w:top w:val="single" w:sz="6" w:space="0" w:color="FFFFFF" w:themeColor="background1"/>
        </w:tcBorders>
        <w:shd w:val="clear" w:color="auto" w:fill="2C4C74" w:themeFill="accent1" w:themeFillShade="99"/>
      </w:tcPr>
    </w:tblStylePr>
    <w:tblStylePr w:type="firstCol">
      <w:rPr>
        <w:color w:val="FFFFFF" w:themeColor="background1"/>
      </w:rPr>
      <w:tblPr/>
      <w:tcPr>
        <w:tcBorders>
          <w:top w:val="nil"/>
          <w:left w:val="nil"/>
          <w:bottom w:val="nil"/>
          <w:right w:val="nil"/>
          <w:insideH w:val="single" w:sz="4" w:space="0" w:color="2C4C74" w:themeColor="accent1" w:themeShade="99"/>
          <w:insideV w:val="nil"/>
        </w:tcBorders>
        <w:shd w:val="clear" w:color="auto" w:fill="2C4C74" w:themeFill="accent1" w:themeFillShade="99"/>
      </w:tcPr>
    </w:tblStylePr>
    <w:tblStylePr w:type="lastCol">
      <w:rPr>
        <w:color w:val="FFFFFF" w:themeColor="background1"/>
      </w:rPr>
      <w:tblPr/>
      <w:tcPr>
        <w:tcBorders>
          <w:top w:val="nil"/>
          <w:left w:val="nil"/>
          <w:bottom w:val="nil"/>
          <w:right w:val="nil"/>
          <w:insideH w:val="nil"/>
          <w:insideV w:val="nil"/>
        </w:tcBorders>
        <w:shd w:val="clear" w:color="auto" w:fill="2C4C74" w:themeFill="accent1" w:themeFillShade="99"/>
      </w:tcPr>
    </w:tblStylePr>
    <w:tblStylePr w:type="band1Vert">
      <w:tblPr/>
      <w:tcPr>
        <w:shd w:val="clear" w:color="auto" w:fill="B8CCE4" w:themeFill="accent1" w:themeFillTint="66"/>
      </w:tcPr>
    </w:tblStylePr>
    <w:tblStylePr w:type="band1Horz">
      <w:tblPr/>
      <w:tcPr>
        <w:shd w:val="clear" w:color="auto" w:fill="A7BFDE" w:themeFill="accent1" w:themeFillTint="7F"/>
      </w:tcPr>
    </w:tblStylePr>
    <w:tblStylePr w:type="neCell">
      <w:rPr>
        <w:color w:val="000000" w:themeColor="text1"/>
      </w:rPr>
    </w:tblStylePr>
    <w:tblStylePr w:type="nwCell">
      <w:rPr>
        <w:color w:val="000000" w:themeColor="text1"/>
      </w:rPr>
    </w:tblStylePr>
  </w:style>
  <w:style w:type="table" w:styleId="ColorfulShading-Accent2">
    <w:name w:val="Colorful Shading Accent 2"/>
    <w:basedOn w:val="TableNormal"/>
    <w:uiPriority w:val="71"/>
    <w:semiHidden/>
    <w:unhideWhenUsed/>
    <w:rsid w:val="00167B18"/>
    <w:pPr>
      <w:spacing w:after="0" w:line="240" w:lineRule="auto"/>
    </w:pPr>
    <w:rPr>
      <w:color w:val="000000" w:themeColor="text1"/>
    </w:rPr>
    <w:tblPr>
      <w:tblStyleRowBandSize w:val="1"/>
      <w:tblStyleColBandSize w:val="1"/>
      <w:tblBorders>
        <w:top w:val="single" w:sz="24" w:space="0" w:color="C0504D" w:themeColor="accent2"/>
        <w:left w:val="single" w:sz="4" w:space="0" w:color="C0504D" w:themeColor="accent2"/>
        <w:bottom w:val="single" w:sz="4" w:space="0" w:color="C0504D" w:themeColor="accent2"/>
        <w:right w:val="single" w:sz="4" w:space="0" w:color="C0504D" w:themeColor="accent2"/>
        <w:insideH w:val="single" w:sz="4" w:space="0" w:color="FFFFFF" w:themeColor="background1"/>
        <w:insideV w:val="single" w:sz="4" w:space="0" w:color="FFFFFF" w:themeColor="background1"/>
      </w:tblBorders>
    </w:tblPr>
    <w:tcPr>
      <w:shd w:val="clear" w:color="auto" w:fill="F8EDED" w:themeFill="accent2" w:themeFillTint="19"/>
    </w:tcPr>
    <w:tblStylePr w:type="firstRow">
      <w:rPr>
        <w:b/>
        <w:bCs/>
      </w:rPr>
      <w:tblPr/>
      <w:tcPr>
        <w:tcBorders>
          <w:top w:val="nil"/>
          <w:left w:val="nil"/>
          <w:bottom w:val="single" w:sz="24" w:space="0" w:color="C0504D" w:themeColor="accent2"/>
          <w:right w:val="nil"/>
          <w:insideH w:val="nil"/>
          <w:insideV w:val="nil"/>
        </w:tcBorders>
        <w:shd w:val="clear" w:color="auto" w:fill="FFFFFF" w:themeFill="background1"/>
      </w:tcPr>
    </w:tblStylePr>
    <w:tblStylePr w:type="lastRow">
      <w:rPr>
        <w:b/>
        <w:bCs/>
        <w:color w:val="FFFFFF" w:themeColor="background1"/>
      </w:rPr>
      <w:tblPr/>
      <w:tcPr>
        <w:tcBorders>
          <w:top w:val="single" w:sz="6" w:space="0" w:color="FFFFFF" w:themeColor="background1"/>
        </w:tcBorders>
        <w:shd w:val="clear" w:color="auto" w:fill="772C2A" w:themeFill="accent2" w:themeFillShade="99"/>
      </w:tcPr>
    </w:tblStylePr>
    <w:tblStylePr w:type="firstCol">
      <w:rPr>
        <w:color w:val="FFFFFF" w:themeColor="background1"/>
      </w:rPr>
      <w:tblPr/>
      <w:tcPr>
        <w:tcBorders>
          <w:top w:val="nil"/>
          <w:left w:val="nil"/>
          <w:bottom w:val="nil"/>
          <w:right w:val="nil"/>
          <w:insideH w:val="single" w:sz="4" w:space="0" w:color="772C2A" w:themeColor="accent2" w:themeShade="99"/>
          <w:insideV w:val="nil"/>
        </w:tcBorders>
        <w:shd w:val="clear" w:color="auto" w:fill="772C2A" w:themeFill="accent2" w:themeFillShade="99"/>
      </w:tcPr>
    </w:tblStylePr>
    <w:tblStylePr w:type="lastCol">
      <w:rPr>
        <w:color w:val="FFFFFF" w:themeColor="background1"/>
      </w:rPr>
      <w:tblPr/>
      <w:tcPr>
        <w:tcBorders>
          <w:top w:val="nil"/>
          <w:left w:val="nil"/>
          <w:bottom w:val="nil"/>
          <w:right w:val="nil"/>
          <w:insideH w:val="nil"/>
          <w:insideV w:val="nil"/>
        </w:tcBorders>
        <w:shd w:val="clear" w:color="auto" w:fill="772C2A" w:themeFill="accent2" w:themeFillShade="99"/>
      </w:tcPr>
    </w:tblStylePr>
    <w:tblStylePr w:type="band1Vert">
      <w:tblPr/>
      <w:tcPr>
        <w:shd w:val="clear" w:color="auto" w:fill="E5B8B7" w:themeFill="accent2" w:themeFillTint="66"/>
      </w:tcPr>
    </w:tblStylePr>
    <w:tblStylePr w:type="band1Horz">
      <w:tblPr/>
      <w:tcPr>
        <w:shd w:val="clear" w:color="auto" w:fill="DFA7A6" w:themeFill="accent2" w:themeFillTint="7F"/>
      </w:tcPr>
    </w:tblStylePr>
    <w:tblStylePr w:type="neCell">
      <w:rPr>
        <w:color w:val="000000" w:themeColor="text1"/>
      </w:rPr>
    </w:tblStylePr>
    <w:tblStylePr w:type="nwCell">
      <w:rPr>
        <w:color w:val="000000" w:themeColor="text1"/>
      </w:rPr>
    </w:tblStylePr>
  </w:style>
  <w:style w:type="table" w:styleId="ColorfulShading-Accent3">
    <w:name w:val="Colorful Shading Accent 3"/>
    <w:basedOn w:val="TableNormal"/>
    <w:uiPriority w:val="71"/>
    <w:semiHidden/>
    <w:unhideWhenUsed/>
    <w:rsid w:val="00167B18"/>
    <w:pPr>
      <w:spacing w:after="0" w:line="240" w:lineRule="auto"/>
    </w:pPr>
    <w:rPr>
      <w:color w:val="000000" w:themeColor="text1"/>
    </w:rPr>
    <w:tblPr>
      <w:tblStyleRowBandSize w:val="1"/>
      <w:tblStyleColBandSize w:val="1"/>
      <w:tblBorders>
        <w:top w:val="single" w:sz="24" w:space="0" w:color="8064A2" w:themeColor="accent4"/>
        <w:left w:val="single" w:sz="4" w:space="0" w:color="9BBB59" w:themeColor="accent3"/>
        <w:bottom w:val="single" w:sz="4" w:space="0" w:color="9BBB59" w:themeColor="accent3"/>
        <w:right w:val="single" w:sz="4" w:space="0" w:color="9BBB59" w:themeColor="accent3"/>
        <w:insideH w:val="single" w:sz="4" w:space="0" w:color="FFFFFF" w:themeColor="background1"/>
        <w:insideV w:val="single" w:sz="4" w:space="0" w:color="FFFFFF" w:themeColor="background1"/>
      </w:tblBorders>
    </w:tblPr>
    <w:tcPr>
      <w:shd w:val="clear" w:color="auto" w:fill="F5F8EE" w:themeFill="accent3" w:themeFillTint="19"/>
    </w:tcPr>
    <w:tblStylePr w:type="firstRow">
      <w:rPr>
        <w:b/>
        <w:bCs/>
      </w:rPr>
      <w:tblPr/>
      <w:tcPr>
        <w:tcBorders>
          <w:top w:val="nil"/>
          <w:left w:val="nil"/>
          <w:bottom w:val="single" w:sz="24" w:space="0" w:color="8064A2" w:themeColor="accent4"/>
          <w:right w:val="nil"/>
          <w:insideH w:val="nil"/>
          <w:insideV w:val="nil"/>
        </w:tcBorders>
        <w:shd w:val="clear" w:color="auto" w:fill="FFFFFF" w:themeFill="background1"/>
      </w:tcPr>
    </w:tblStylePr>
    <w:tblStylePr w:type="lastRow">
      <w:rPr>
        <w:b/>
        <w:bCs/>
        <w:color w:val="FFFFFF" w:themeColor="background1"/>
      </w:rPr>
      <w:tblPr/>
      <w:tcPr>
        <w:tcBorders>
          <w:top w:val="single" w:sz="6" w:space="0" w:color="FFFFFF" w:themeColor="background1"/>
        </w:tcBorders>
        <w:shd w:val="clear" w:color="auto" w:fill="5E7530" w:themeFill="accent3" w:themeFillShade="99"/>
      </w:tcPr>
    </w:tblStylePr>
    <w:tblStylePr w:type="firstCol">
      <w:rPr>
        <w:color w:val="FFFFFF" w:themeColor="background1"/>
      </w:rPr>
      <w:tblPr/>
      <w:tcPr>
        <w:tcBorders>
          <w:top w:val="nil"/>
          <w:left w:val="nil"/>
          <w:bottom w:val="nil"/>
          <w:right w:val="nil"/>
          <w:insideH w:val="single" w:sz="4" w:space="0" w:color="5E7530" w:themeColor="accent3" w:themeShade="99"/>
          <w:insideV w:val="nil"/>
        </w:tcBorders>
        <w:shd w:val="clear" w:color="auto" w:fill="5E7530" w:themeFill="accent3" w:themeFillShade="99"/>
      </w:tcPr>
    </w:tblStylePr>
    <w:tblStylePr w:type="lastCol">
      <w:rPr>
        <w:color w:val="FFFFFF" w:themeColor="background1"/>
      </w:rPr>
      <w:tblPr/>
      <w:tcPr>
        <w:tcBorders>
          <w:top w:val="nil"/>
          <w:left w:val="nil"/>
          <w:bottom w:val="nil"/>
          <w:right w:val="nil"/>
          <w:insideH w:val="nil"/>
          <w:insideV w:val="nil"/>
        </w:tcBorders>
        <w:shd w:val="clear" w:color="auto" w:fill="5E7530" w:themeFill="accent3" w:themeFillShade="99"/>
      </w:tcPr>
    </w:tblStylePr>
    <w:tblStylePr w:type="band1Vert">
      <w:tblPr/>
      <w:tcPr>
        <w:shd w:val="clear" w:color="auto" w:fill="D6E3BC" w:themeFill="accent3" w:themeFillTint="66"/>
      </w:tcPr>
    </w:tblStylePr>
    <w:tblStylePr w:type="band1Horz">
      <w:tblPr/>
      <w:tcPr>
        <w:shd w:val="clear" w:color="auto" w:fill="CDDDAC" w:themeFill="accent3" w:themeFillTint="7F"/>
      </w:tcPr>
    </w:tblStylePr>
  </w:style>
  <w:style w:type="table" w:styleId="ColorfulShading-Accent4">
    <w:name w:val="Colorful Shading Accent 4"/>
    <w:basedOn w:val="TableNormal"/>
    <w:uiPriority w:val="71"/>
    <w:semiHidden/>
    <w:unhideWhenUsed/>
    <w:rsid w:val="00167B18"/>
    <w:pPr>
      <w:spacing w:after="0" w:line="240" w:lineRule="auto"/>
    </w:pPr>
    <w:rPr>
      <w:color w:val="000000" w:themeColor="text1"/>
    </w:rPr>
    <w:tblPr>
      <w:tblStyleRowBandSize w:val="1"/>
      <w:tblStyleColBandSize w:val="1"/>
      <w:tblBorders>
        <w:top w:val="single" w:sz="24" w:space="0" w:color="9BBB59" w:themeColor="accent3"/>
        <w:left w:val="single" w:sz="4" w:space="0" w:color="8064A2" w:themeColor="accent4"/>
        <w:bottom w:val="single" w:sz="4" w:space="0" w:color="8064A2" w:themeColor="accent4"/>
        <w:right w:val="single" w:sz="4" w:space="0" w:color="8064A2" w:themeColor="accent4"/>
        <w:insideH w:val="single" w:sz="4" w:space="0" w:color="FFFFFF" w:themeColor="background1"/>
        <w:insideV w:val="single" w:sz="4" w:space="0" w:color="FFFFFF" w:themeColor="background1"/>
      </w:tblBorders>
    </w:tblPr>
    <w:tcPr>
      <w:shd w:val="clear" w:color="auto" w:fill="F2EFF6" w:themeFill="accent4" w:themeFillTint="19"/>
    </w:tcPr>
    <w:tblStylePr w:type="firstRow">
      <w:rPr>
        <w:b/>
        <w:bCs/>
      </w:rPr>
      <w:tblPr/>
      <w:tcPr>
        <w:tcBorders>
          <w:top w:val="nil"/>
          <w:left w:val="nil"/>
          <w:bottom w:val="single" w:sz="24" w:space="0" w:color="9BBB59" w:themeColor="accent3"/>
          <w:right w:val="nil"/>
          <w:insideH w:val="nil"/>
          <w:insideV w:val="nil"/>
        </w:tcBorders>
        <w:shd w:val="clear" w:color="auto" w:fill="FFFFFF" w:themeFill="background1"/>
      </w:tcPr>
    </w:tblStylePr>
    <w:tblStylePr w:type="lastRow">
      <w:rPr>
        <w:b/>
        <w:bCs/>
        <w:color w:val="FFFFFF" w:themeColor="background1"/>
      </w:rPr>
      <w:tblPr/>
      <w:tcPr>
        <w:tcBorders>
          <w:top w:val="single" w:sz="6" w:space="0" w:color="FFFFFF" w:themeColor="background1"/>
        </w:tcBorders>
        <w:shd w:val="clear" w:color="auto" w:fill="4C3B62" w:themeFill="accent4" w:themeFillShade="99"/>
      </w:tcPr>
    </w:tblStylePr>
    <w:tblStylePr w:type="firstCol">
      <w:rPr>
        <w:color w:val="FFFFFF" w:themeColor="background1"/>
      </w:rPr>
      <w:tblPr/>
      <w:tcPr>
        <w:tcBorders>
          <w:top w:val="nil"/>
          <w:left w:val="nil"/>
          <w:bottom w:val="nil"/>
          <w:right w:val="nil"/>
          <w:insideH w:val="single" w:sz="4" w:space="0" w:color="4C3B62" w:themeColor="accent4" w:themeShade="99"/>
          <w:insideV w:val="nil"/>
        </w:tcBorders>
        <w:shd w:val="clear" w:color="auto" w:fill="4C3B62" w:themeFill="accent4" w:themeFillShade="99"/>
      </w:tcPr>
    </w:tblStylePr>
    <w:tblStylePr w:type="lastCol">
      <w:rPr>
        <w:color w:val="FFFFFF" w:themeColor="background1"/>
      </w:rPr>
      <w:tblPr/>
      <w:tcPr>
        <w:tcBorders>
          <w:top w:val="nil"/>
          <w:left w:val="nil"/>
          <w:bottom w:val="nil"/>
          <w:right w:val="nil"/>
          <w:insideH w:val="nil"/>
          <w:insideV w:val="nil"/>
        </w:tcBorders>
        <w:shd w:val="clear" w:color="auto" w:fill="4C3B62" w:themeFill="accent4" w:themeFillShade="99"/>
      </w:tcPr>
    </w:tblStylePr>
    <w:tblStylePr w:type="band1Vert">
      <w:tblPr/>
      <w:tcPr>
        <w:shd w:val="clear" w:color="auto" w:fill="CCC0D9" w:themeFill="accent4" w:themeFillTint="66"/>
      </w:tcPr>
    </w:tblStylePr>
    <w:tblStylePr w:type="band1Horz">
      <w:tblPr/>
      <w:tcPr>
        <w:shd w:val="clear" w:color="auto" w:fill="BFB1D0" w:themeFill="accent4" w:themeFillTint="7F"/>
      </w:tcPr>
    </w:tblStylePr>
    <w:tblStylePr w:type="neCell">
      <w:rPr>
        <w:color w:val="000000" w:themeColor="text1"/>
      </w:rPr>
    </w:tblStylePr>
    <w:tblStylePr w:type="nwCell">
      <w:rPr>
        <w:color w:val="000000" w:themeColor="text1"/>
      </w:rPr>
    </w:tblStylePr>
  </w:style>
  <w:style w:type="table" w:styleId="ColorfulShading-Accent5">
    <w:name w:val="Colorful Shading Accent 5"/>
    <w:basedOn w:val="TableNormal"/>
    <w:uiPriority w:val="71"/>
    <w:semiHidden/>
    <w:unhideWhenUsed/>
    <w:rsid w:val="00167B18"/>
    <w:pPr>
      <w:spacing w:after="0" w:line="240" w:lineRule="auto"/>
    </w:pPr>
    <w:rPr>
      <w:color w:val="000000" w:themeColor="text1"/>
    </w:rPr>
    <w:tblPr>
      <w:tblStyleRowBandSize w:val="1"/>
      <w:tblStyleColBandSize w:val="1"/>
      <w:tblBorders>
        <w:top w:val="single" w:sz="24" w:space="0" w:color="F79646" w:themeColor="accent6"/>
        <w:left w:val="single" w:sz="4" w:space="0" w:color="4BACC6" w:themeColor="accent5"/>
        <w:bottom w:val="single" w:sz="4" w:space="0" w:color="4BACC6" w:themeColor="accent5"/>
        <w:right w:val="single" w:sz="4" w:space="0" w:color="4BACC6" w:themeColor="accent5"/>
        <w:insideH w:val="single" w:sz="4" w:space="0" w:color="FFFFFF" w:themeColor="background1"/>
        <w:insideV w:val="single" w:sz="4" w:space="0" w:color="FFFFFF" w:themeColor="background1"/>
      </w:tblBorders>
    </w:tblPr>
    <w:tcPr>
      <w:shd w:val="clear" w:color="auto" w:fill="EDF6F9" w:themeFill="accent5" w:themeFillTint="19"/>
    </w:tcPr>
    <w:tblStylePr w:type="firstRow">
      <w:rPr>
        <w:b/>
        <w:bCs/>
      </w:rPr>
      <w:tblPr/>
      <w:tcPr>
        <w:tcBorders>
          <w:top w:val="nil"/>
          <w:left w:val="nil"/>
          <w:bottom w:val="single" w:sz="24" w:space="0" w:color="F79646" w:themeColor="accent6"/>
          <w:right w:val="nil"/>
          <w:insideH w:val="nil"/>
          <w:insideV w:val="nil"/>
        </w:tcBorders>
        <w:shd w:val="clear" w:color="auto" w:fill="FFFFFF" w:themeFill="background1"/>
      </w:tcPr>
    </w:tblStylePr>
    <w:tblStylePr w:type="lastRow">
      <w:rPr>
        <w:b/>
        <w:bCs/>
        <w:color w:val="FFFFFF" w:themeColor="background1"/>
      </w:rPr>
      <w:tblPr/>
      <w:tcPr>
        <w:tcBorders>
          <w:top w:val="single" w:sz="6" w:space="0" w:color="FFFFFF" w:themeColor="background1"/>
        </w:tcBorders>
        <w:shd w:val="clear" w:color="auto" w:fill="276A7C" w:themeFill="accent5" w:themeFillShade="99"/>
      </w:tcPr>
    </w:tblStylePr>
    <w:tblStylePr w:type="firstCol">
      <w:rPr>
        <w:color w:val="FFFFFF" w:themeColor="background1"/>
      </w:rPr>
      <w:tblPr/>
      <w:tcPr>
        <w:tcBorders>
          <w:top w:val="nil"/>
          <w:left w:val="nil"/>
          <w:bottom w:val="nil"/>
          <w:right w:val="nil"/>
          <w:insideH w:val="single" w:sz="4" w:space="0" w:color="276A7C" w:themeColor="accent5" w:themeShade="99"/>
          <w:insideV w:val="nil"/>
        </w:tcBorders>
        <w:shd w:val="clear" w:color="auto" w:fill="276A7C" w:themeFill="accent5" w:themeFillShade="99"/>
      </w:tcPr>
    </w:tblStylePr>
    <w:tblStylePr w:type="lastCol">
      <w:rPr>
        <w:color w:val="FFFFFF" w:themeColor="background1"/>
      </w:rPr>
      <w:tblPr/>
      <w:tcPr>
        <w:tcBorders>
          <w:top w:val="nil"/>
          <w:left w:val="nil"/>
          <w:bottom w:val="nil"/>
          <w:right w:val="nil"/>
          <w:insideH w:val="nil"/>
          <w:insideV w:val="nil"/>
        </w:tcBorders>
        <w:shd w:val="clear" w:color="auto" w:fill="276A7C" w:themeFill="accent5" w:themeFillShade="99"/>
      </w:tcPr>
    </w:tblStylePr>
    <w:tblStylePr w:type="band1Vert">
      <w:tblPr/>
      <w:tcPr>
        <w:shd w:val="clear" w:color="auto" w:fill="B6DDE8" w:themeFill="accent5" w:themeFillTint="66"/>
      </w:tcPr>
    </w:tblStylePr>
    <w:tblStylePr w:type="band1Horz">
      <w:tblPr/>
      <w:tcPr>
        <w:shd w:val="clear" w:color="auto" w:fill="A5D5E2" w:themeFill="accent5" w:themeFillTint="7F"/>
      </w:tcPr>
    </w:tblStylePr>
    <w:tblStylePr w:type="neCell">
      <w:rPr>
        <w:color w:val="000000" w:themeColor="text1"/>
      </w:rPr>
    </w:tblStylePr>
    <w:tblStylePr w:type="nwCell">
      <w:rPr>
        <w:color w:val="000000" w:themeColor="text1"/>
      </w:rPr>
    </w:tblStylePr>
  </w:style>
  <w:style w:type="table" w:styleId="ColorfulShading-Accent6">
    <w:name w:val="Colorful Shading Accent 6"/>
    <w:basedOn w:val="TableNormal"/>
    <w:uiPriority w:val="71"/>
    <w:semiHidden/>
    <w:unhideWhenUsed/>
    <w:rsid w:val="00167B18"/>
    <w:pPr>
      <w:spacing w:after="0" w:line="240" w:lineRule="auto"/>
    </w:pPr>
    <w:rPr>
      <w:color w:val="000000" w:themeColor="text1"/>
    </w:rPr>
    <w:tblPr>
      <w:tblStyleRowBandSize w:val="1"/>
      <w:tblStyleColBandSize w:val="1"/>
      <w:tblBorders>
        <w:top w:val="single" w:sz="24" w:space="0" w:color="4BACC6" w:themeColor="accent5"/>
        <w:left w:val="single" w:sz="4" w:space="0" w:color="F79646" w:themeColor="accent6"/>
        <w:bottom w:val="single" w:sz="4" w:space="0" w:color="F79646" w:themeColor="accent6"/>
        <w:right w:val="single" w:sz="4" w:space="0" w:color="F79646" w:themeColor="accent6"/>
        <w:insideH w:val="single" w:sz="4" w:space="0" w:color="FFFFFF" w:themeColor="background1"/>
        <w:insideV w:val="single" w:sz="4" w:space="0" w:color="FFFFFF" w:themeColor="background1"/>
      </w:tblBorders>
    </w:tblPr>
    <w:tcPr>
      <w:shd w:val="clear" w:color="auto" w:fill="FEF4EC" w:themeFill="accent6" w:themeFillTint="19"/>
    </w:tcPr>
    <w:tblStylePr w:type="firstRow">
      <w:rPr>
        <w:b/>
        <w:bCs/>
      </w:rPr>
      <w:tblPr/>
      <w:tcPr>
        <w:tcBorders>
          <w:top w:val="nil"/>
          <w:left w:val="nil"/>
          <w:bottom w:val="single" w:sz="24" w:space="0" w:color="4BACC6" w:themeColor="accent5"/>
          <w:right w:val="nil"/>
          <w:insideH w:val="nil"/>
          <w:insideV w:val="nil"/>
        </w:tcBorders>
        <w:shd w:val="clear" w:color="auto" w:fill="FFFFFF" w:themeFill="background1"/>
      </w:tcPr>
    </w:tblStylePr>
    <w:tblStylePr w:type="lastRow">
      <w:rPr>
        <w:b/>
        <w:bCs/>
        <w:color w:val="FFFFFF" w:themeColor="background1"/>
      </w:rPr>
      <w:tblPr/>
      <w:tcPr>
        <w:tcBorders>
          <w:top w:val="single" w:sz="6" w:space="0" w:color="FFFFFF" w:themeColor="background1"/>
        </w:tcBorders>
        <w:shd w:val="clear" w:color="auto" w:fill="B65608" w:themeFill="accent6" w:themeFillShade="99"/>
      </w:tcPr>
    </w:tblStylePr>
    <w:tblStylePr w:type="firstCol">
      <w:rPr>
        <w:color w:val="FFFFFF" w:themeColor="background1"/>
      </w:rPr>
      <w:tblPr/>
      <w:tcPr>
        <w:tcBorders>
          <w:top w:val="nil"/>
          <w:left w:val="nil"/>
          <w:bottom w:val="nil"/>
          <w:right w:val="nil"/>
          <w:insideH w:val="single" w:sz="4" w:space="0" w:color="B65608" w:themeColor="accent6" w:themeShade="99"/>
          <w:insideV w:val="nil"/>
        </w:tcBorders>
        <w:shd w:val="clear" w:color="auto" w:fill="B65608" w:themeFill="accent6" w:themeFillShade="99"/>
      </w:tcPr>
    </w:tblStylePr>
    <w:tblStylePr w:type="lastCol">
      <w:rPr>
        <w:color w:val="FFFFFF" w:themeColor="background1"/>
      </w:rPr>
      <w:tblPr/>
      <w:tcPr>
        <w:tcBorders>
          <w:top w:val="nil"/>
          <w:left w:val="nil"/>
          <w:bottom w:val="nil"/>
          <w:right w:val="nil"/>
          <w:insideH w:val="nil"/>
          <w:insideV w:val="nil"/>
        </w:tcBorders>
        <w:shd w:val="clear" w:color="auto" w:fill="B65608" w:themeFill="accent6" w:themeFillShade="99"/>
      </w:tcPr>
    </w:tblStylePr>
    <w:tblStylePr w:type="band1Vert">
      <w:tblPr/>
      <w:tcPr>
        <w:shd w:val="clear" w:color="auto" w:fill="FBD4B4" w:themeFill="accent6" w:themeFillTint="66"/>
      </w:tcPr>
    </w:tblStylePr>
    <w:tblStylePr w:type="band1Horz">
      <w:tblPr/>
      <w:tcPr>
        <w:shd w:val="clear" w:color="auto" w:fill="FBCAA2" w:themeFill="accent6" w:themeFillTint="7F"/>
      </w:tcPr>
    </w:tblStylePr>
    <w:tblStylePr w:type="neCell">
      <w:rPr>
        <w:color w:val="000000" w:themeColor="text1"/>
      </w:rPr>
    </w:tblStylePr>
    <w:tblStylePr w:type="nwCell">
      <w:rPr>
        <w:color w:val="000000" w:themeColor="text1"/>
      </w:rPr>
    </w:tblStylePr>
  </w:style>
  <w:style w:type="table" w:styleId="DarkList">
    <w:name w:val="Dark List"/>
    <w:basedOn w:val="TableNormal"/>
    <w:uiPriority w:val="70"/>
    <w:semiHidden/>
    <w:unhideWhenUsed/>
    <w:rsid w:val="00167B18"/>
    <w:pPr>
      <w:spacing w:after="0" w:line="240" w:lineRule="auto"/>
    </w:pPr>
    <w:rPr>
      <w:color w:val="FFFFFF" w:themeColor="background1"/>
    </w:rPr>
    <w:tblPr>
      <w:tblStyleRowBandSize w:val="1"/>
      <w:tblStyleColBandSize w:val="1"/>
    </w:tblPr>
    <w:tcPr>
      <w:shd w:val="clear" w:color="auto" w:fill="000000" w:themeFill="text1"/>
    </w:tcPr>
    <w:tblStylePr w:type="firstRow">
      <w:rPr>
        <w:b/>
        <w:bCs/>
      </w:rPr>
      <w:tblPr/>
      <w:tcPr>
        <w:tcBorders>
          <w:top w:val="nil"/>
          <w:left w:val="nil"/>
          <w:bottom w:val="single" w:sz="18" w:space="0" w:color="FFFFFF" w:themeColor="background1"/>
          <w:right w:val="nil"/>
          <w:insideH w:val="nil"/>
          <w:insideV w:val="nil"/>
        </w:tcBorders>
        <w:shd w:val="clear" w:color="auto" w:fill="000000" w:themeFill="text1"/>
      </w:tcPr>
    </w:tblStylePr>
    <w:tblStylePr w:type="lastRow">
      <w:tblPr/>
      <w:tcPr>
        <w:tcBorders>
          <w:top w:val="single" w:sz="18" w:space="0" w:color="FFFFFF" w:themeColor="background1"/>
          <w:left w:val="nil"/>
          <w:bottom w:val="nil"/>
          <w:right w:val="nil"/>
          <w:insideH w:val="nil"/>
          <w:insideV w:val="nil"/>
        </w:tcBorders>
        <w:shd w:val="clear" w:color="auto" w:fill="000000" w:themeFill="text1" w:themeFillShade="7F"/>
      </w:tcPr>
    </w:tblStylePr>
    <w:tblStylePr w:type="firstCol">
      <w:tblPr/>
      <w:tcPr>
        <w:tcBorders>
          <w:top w:val="nil"/>
          <w:left w:val="nil"/>
          <w:bottom w:val="nil"/>
          <w:right w:val="single" w:sz="18" w:space="0" w:color="FFFFFF" w:themeColor="background1"/>
          <w:insideH w:val="nil"/>
          <w:insideV w:val="nil"/>
        </w:tcBorders>
        <w:shd w:val="clear" w:color="auto" w:fill="000000" w:themeFill="text1" w:themeFillShade="BF"/>
      </w:tcPr>
    </w:tblStylePr>
    <w:tblStylePr w:type="lastCol">
      <w:tblPr/>
      <w:tcPr>
        <w:tcBorders>
          <w:top w:val="nil"/>
          <w:left w:val="single" w:sz="18" w:space="0" w:color="FFFFFF" w:themeColor="background1"/>
          <w:bottom w:val="nil"/>
          <w:right w:val="nil"/>
          <w:insideH w:val="nil"/>
          <w:insideV w:val="nil"/>
        </w:tcBorders>
        <w:shd w:val="clear" w:color="auto" w:fill="000000" w:themeFill="text1" w:themeFillShade="BF"/>
      </w:tcPr>
    </w:tblStylePr>
    <w:tblStylePr w:type="band1Vert">
      <w:tblPr/>
      <w:tcPr>
        <w:tcBorders>
          <w:top w:val="nil"/>
          <w:left w:val="nil"/>
          <w:bottom w:val="nil"/>
          <w:right w:val="nil"/>
          <w:insideH w:val="nil"/>
          <w:insideV w:val="nil"/>
        </w:tcBorders>
        <w:shd w:val="clear" w:color="auto" w:fill="000000" w:themeFill="text1" w:themeFillShade="BF"/>
      </w:tcPr>
    </w:tblStylePr>
    <w:tblStylePr w:type="band1Horz">
      <w:tblPr/>
      <w:tcPr>
        <w:tcBorders>
          <w:top w:val="nil"/>
          <w:left w:val="nil"/>
          <w:bottom w:val="nil"/>
          <w:right w:val="nil"/>
          <w:insideH w:val="nil"/>
          <w:insideV w:val="nil"/>
        </w:tcBorders>
        <w:shd w:val="clear" w:color="auto" w:fill="000000" w:themeFill="text1" w:themeFillShade="BF"/>
      </w:tcPr>
    </w:tblStylePr>
  </w:style>
  <w:style w:type="table" w:styleId="DarkList-Accent1">
    <w:name w:val="Dark List Accent 1"/>
    <w:basedOn w:val="TableNormal"/>
    <w:uiPriority w:val="70"/>
    <w:semiHidden/>
    <w:unhideWhenUsed/>
    <w:rsid w:val="00167B18"/>
    <w:pPr>
      <w:spacing w:after="0" w:line="240" w:lineRule="auto"/>
    </w:pPr>
    <w:rPr>
      <w:color w:val="FFFFFF" w:themeColor="background1"/>
    </w:rPr>
    <w:tblPr>
      <w:tblStyleRowBandSize w:val="1"/>
      <w:tblStyleColBandSize w:val="1"/>
    </w:tblPr>
    <w:tcPr>
      <w:shd w:val="clear" w:color="auto" w:fill="4F81BD" w:themeFill="accent1"/>
    </w:tcPr>
    <w:tblStylePr w:type="firstRow">
      <w:rPr>
        <w:b/>
        <w:bCs/>
      </w:rPr>
      <w:tblPr/>
      <w:tcPr>
        <w:tcBorders>
          <w:top w:val="nil"/>
          <w:left w:val="nil"/>
          <w:bottom w:val="single" w:sz="18" w:space="0" w:color="FFFFFF" w:themeColor="background1"/>
          <w:right w:val="nil"/>
          <w:insideH w:val="nil"/>
          <w:insideV w:val="nil"/>
        </w:tcBorders>
        <w:shd w:val="clear" w:color="auto" w:fill="000000" w:themeFill="text1"/>
      </w:tcPr>
    </w:tblStylePr>
    <w:tblStylePr w:type="lastRow">
      <w:tblPr/>
      <w:tcPr>
        <w:tcBorders>
          <w:top w:val="single" w:sz="18" w:space="0" w:color="FFFFFF" w:themeColor="background1"/>
          <w:left w:val="nil"/>
          <w:bottom w:val="nil"/>
          <w:right w:val="nil"/>
          <w:insideH w:val="nil"/>
          <w:insideV w:val="nil"/>
        </w:tcBorders>
        <w:shd w:val="clear" w:color="auto" w:fill="243F60" w:themeFill="accent1" w:themeFillShade="7F"/>
      </w:tcPr>
    </w:tblStylePr>
    <w:tblStylePr w:type="firstCol">
      <w:tblPr/>
      <w:tcPr>
        <w:tcBorders>
          <w:top w:val="nil"/>
          <w:left w:val="nil"/>
          <w:bottom w:val="nil"/>
          <w:right w:val="single" w:sz="18" w:space="0" w:color="FFFFFF" w:themeColor="background1"/>
          <w:insideH w:val="nil"/>
          <w:insideV w:val="nil"/>
        </w:tcBorders>
        <w:shd w:val="clear" w:color="auto" w:fill="365F91" w:themeFill="accent1" w:themeFillShade="BF"/>
      </w:tcPr>
    </w:tblStylePr>
    <w:tblStylePr w:type="lastCol">
      <w:tblPr/>
      <w:tcPr>
        <w:tcBorders>
          <w:top w:val="nil"/>
          <w:left w:val="single" w:sz="18" w:space="0" w:color="FFFFFF" w:themeColor="background1"/>
          <w:bottom w:val="nil"/>
          <w:right w:val="nil"/>
          <w:insideH w:val="nil"/>
          <w:insideV w:val="nil"/>
        </w:tcBorders>
        <w:shd w:val="clear" w:color="auto" w:fill="365F91" w:themeFill="accent1" w:themeFillShade="BF"/>
      </w:tcPr>
    </w:tblStylePr>
    <w:tblStylePr w:type="band1Vert">
      <w:tblPr/>
      <w:tcPr>
        <w:tcBorders>
          <w:top w:val="nil"/>
          <w:left w:val="nil"/>
          <w:bottom w:val="nil"/>
          <w:right w:val="nil"/>
          <w:insideH w:val="nil"/>
          <w:insideV w:val="nil"/>
        </w:tcBorders>
        <w:shd w:val="clear" w:color="auto" w:fill="365F91" w:themeFill="accent1" w:themeFillShade="BF"/>
      </w:tcPr>
    </w:tblStylePr>
    <w:tblStylePr w:type="band1Horz">
      <w:tblPr/>
      <w:tcPr>
        <w:tcBorders>
          <w:top w:val="nil"/>
          <w:left w:val="nil"/>
          <w:bottom w:val="nil"/>
          <w:right w:val="nil"/>
          <w:insideH w:val="nil"/>
          <w:insideV w:val="nil"/>
        </w:tcBorders>
        <w:shd w:val="clear" w:color="auto" w:fill="365F91" w:themeFill="accent1" w:themeFillShade="BF"/>
      </w:tcPr>
    </w:tblStylePr>
  </w:style>
  <w:style w:type="table" w:styleId="DarkList-Accent2">
    <w:name w:val="Dark List Accent 2"/>
    <w:basedOn w:val="TableNormal"/>
    <w:uiPriority w:val="70"/>
    <w:semiHidden/>
    <w:unhideWhenUsed/>
    <w:rsid w:val="00167B18"/>
    <w:pPr>
      <w:spacing w:after="0" w:line="240" w:lineRule="auto"/>
    </w:pPr>
    <w:rPr>
      <w:color w:val="FFFFFF" w:themeColor="background1"/>
    </w:rPr>
    <w:tblPr>
      <w:tblStyleRowBandSize w:val="1"/>
      <w:tblStyleColBandSize w:val="1"/>
    </w:tblPr>
    <w:tcPr>
      <w:shd w:val="clear" w:color="auto" w:fill="C0504D" w:themeFill="accent2"/>
    </w:tcPr>
    <w:tblStylePr w:type="firstRow">
      <w:rPr>
        <w:b/>
        <w:bCs/>
      </w:rPr>
      <w:tblPr/>
      <w:tcPr>
        <w:tcBorders>
          <w:top w:val="nil"/>
          <w:left w:val="nil"/>
          <w:bottom w:val="single" w:sz="18" w:space="0" w:color="FFFFFF" w:themeColor="background1"/>
          <w:right w:val="nil"/>
          <w:insideH w:val="nil"/>
          <w:insideV w:val="nil"/>
        </w:tcBorders>
        <w:shd w:val="clear" w:color="auto" w:fill="000000" w:themeFill="text1"/>
      </w:tcPr>
    </w:tblStylePr>
    <w:tblStylePr w:type="lastRow">
      <w:tblPr/>
      <w:tcPr>
        <w:tcBorders>
          <w:top w:val="single" w:sz="18" w:space="0" w:color="FFFFFF" w:themeColor="background1"/>
          <w:left w:val="nil"/>
          <w:bottom w:val="nil"/>
          <w:right w:val="nil"/>
          <w:insideH w:val="nil"/>
          <w:insideV w:val="nil"/>
        </w:tcBorders>
        <w:shd w:val="clear" w:color="auto" w:fill="622423" w:themeFill="accent2" w:themeFillShade="7F"/>
      </w:tcPr>
    </w:tblStylePr>
    <w:tblStylePr w:type="firstCol">
      <w:tblPr/>
      <w:tcPr>
        <w:tcBorders>
          <w:top w:val="nil"/>
          <w:left w:val="nil"/>
          <w:bottom w:val="nil"/>
          <w:right w:val="single" w:sz="18" w:space="0" w:color="FFFFFF" w:themeColor="background1"/>
          <w:insideH w:val="nil"/>
          <w:insideV w:val="nil"/>
        </w:tcBorders>
        <w:shd w:val="clear" w:color="auto" w:fill="943634" w:themeFill="accent2" w:themeFillShade="BF"/>
      </w:tcPr>
    </w:tblStylePr>
    <w:tblStylePr w:type="lastCol">
      <w:tblPr/>
      <w:tcPr>
        <w:tcBorders>
          <w:top w:val="nil"/>
          <w:left w:val="single" w:sz="18" w:space="0" w:color="FFFFFF" w:themeColor="background1"/>
          <w:bottom w:val="nil"/>
          <w:right w:val="nil"/>
          <w:insideH w:val="nil"/>
          <w:insideV w:val="nil"/>
        </w:tcBorders>
        <w:shd w:val="clear" w:color="auto" w:fill="943634" w:themeFill="accent2" w:themeFillShade="BF"/>
      </w:tcPr>
    </w:tblStylePr>
    <w:tblStylePr w:type="band1Vert">
      <w:tblPr/>
      <w:tcPr>
        <w:tcBorders>
          <w:top w:val="nil"/>
          <w:left w:val="nil"/>
          <w:bottom w:val="nil"/>
          <w:right w:val="nil"/>
          <w:insideH w:val="nil"/>
          <w:insideV w:val="nil"/>
        </w:tcBorders>
        <w:shd w:val="clear" w:color="auto" w:fill="943634" w:themeFill="accent2" w:themeFillShade="BF"/>
      </w:tcPr>
    </w:tblStylePr>
    <w:tblStylePr w:type="band1Horz">
      <w:tblPr/>
      <w:tcPr>
        <w:tcBorders>
          <w:top w:val="nil"/>
          <w:left w:val="nil"/>
          <w:bottom w:val="nil"/>
          <w:right w:val="nil"/>
          <w:insideH w:val="nil"/>
          <w:insideV w:val="nil"/>
        </w:tcBorders>
        <w:shd w:val="clear" w:color="auto" w:fill="943634" w:themeFill="accent2" w:themeFillShade="BF"/>
      </w:tcPr>
    </w:tblStylePr>
  </w:style>
  <w:style w:type="table" w:styleId="DarkList-Accent3">
    <w:name w:val="Dark List Accent 3"/>
    <w:basedOn w:val="TableNormal"/>
    <w:uiPriority w:val="70"/>
    <w:semiHidden/>
    <w:unhideWhenUsed/>
    <w:rsid w:val="00167B18"/>
    <w:pPr>
      <w:spacing w:after="0" w:line="240" w:lineRule="auto"/>
    </w:pPr>
    <w:rPr>
      <w:color w:val="FFFFFF" w:themeColor="background1"/>
    </w:rPr>
    <w:tblPr>
      <w:tblStyleRowBandSize w:val="1"/>
      <w:tblStyleColBandSize w:val="1"/>
    </w:tblPr>
    <w:tcPr>
      <w:shd w:val="clear" w:color="auto" w:fill="9BBB59" w:themeFill="accent3"/>
    </w:tcPr>
    <w:tblStylePr w:type="firstRow">
      <w:rPr>
        <w:b/>
        <w:bCs/>
      </w:rPr>
      <w:tblPr/>
      <w:tcPr>
        <w:tcBorders>
          <w:top w:val="nil"/>
          <w:left w:val="nil"/>
          <w:bottom w:val="single" w:sz="18" w:space="0" w:color="FFFFFF" w:themeColor="background1"/>
          <w:right w:val="nil"/>
          <w:insideH w:val="nil"/>
          <w:insideV w:val="nil"/>
        </w:tcBorders>
        <w:shd w:val="clear" w:color="auto" w:fill="000000" w:themeFill="text1"/>
      </w:tcPr>
    </w:tblStylePr>
    <w:tblStylePr w:type="lastRow">
      <w:tblPr/>
      <w:tcPr>
        <w:tcBorders>
          <w:top w:val="single" w:sz="18" w:space="0" w:color="FFFFFF" w:themeColor="background1"/>
          <w:left w:val="nil"/>
          <w:bottom w:val="nil"/>
          <w:right w:val="nil"/>
          <w:insideH w:val="nil"/>
          <w:insideV w:val="nil"/>
        </w:tcBorders>
        <w:shd w:val="clear" w:color="auto" w:fill="4E6128" w:themeFill="accent3" w:themeFillShade="7F"/>
      </w:tcPr>
    </w:tblStylePr>
    <w:tblStylePr w:type="firstCol">
      <w:tblPr/>
      <w:tcPr>
        <w:tcBorders>
          <w:top w:val="nil"/>
          <w:left w:val="nil"/>
          <w:bottom w:val="nil"/>
          <w:right w:val="single" w:sz="18" w:space="0" w:color="FFFFFF" w:themeColor="background1"/>
          <w:insideH w:val="nil"/>
          <w:insideV w:val="nil"/>
        </w:tcBorders>
        <w:shd w:val="clear" w:color="auto" w:fill="76923C" w:themeFill="accent3" w:themeFillShade="BF"/>
      </w:tcPr>
    </w:tblStylePr>
    <w:tblStylePr w:type="lastCol">
      <w:tblPr/>
      <w:tcPr>
        <w:tcBorders>
          <w:top w:val="nil"/>
          <w:left w:val="single" w:sz="18" w:space="0" w:color="FFFFFF" w:themeColor="background1"/>
          <w:bottom w:val="nil"/>
          <w:right w:val="nil"/>
          <w:insideH w:val="nil"/>
          <w:insideV w:val="nil"/>
        </w:tcBorders>
        <w:shd w:val="clear" w:color="auto" w:fill="76923C" w:themeFill="accent3" w:themeFillShade="BF"/>
      </w:tcPr>
    </w:tblStylePr>
    <w:tblStylePr w:type="band1Vert">
      <w:tblPr/>
      <w:tcPr>
        <w:tcBorders>
          <w:top w:val="nil"/>
          <w:left w:val="nil"/>
          <w:bottom w:val="nil"/>
          <w:right w:val="nil"/>
          <w:insideH w:val="nil"/>
          <w:insideV w:val="nil"/>
        </w:tcBorders>
        <w:shd w:val="clear" w:color="auto" w:fill="76923C" w:themeFill="accent3" w:themeFillShade="BF"/>
      </w:tcPr>
    </w:tblStylePr>
    <w:tblStylePr w:type="band1Horz">
      <w:tblPr/>
      <w:tcPr>
        <w:tcBorders>
          <w:top w:val="nil"/>
          <w:left w:val="nil"/>
          <w:bottom w:val="nil"/>
          <w:right w:val="nil"/>
          <w:insideH w:val="nil"/>
          <w:insideV w:val="nil"/>
        </w:tcBorders>
        <w:shd w:val="clear" w:color="auto" w:fill="76923C" w:themeFill="accent3" w:themeFillShade="BF"/>
      </w:tcPr>
    </w:tblStylePr>
  </w:style>
  <w:style w:type="table" w:styleId="DarkList-Accent4">
    <w:name w:val="Dark List Accent 4"/>
    <w:basedOn w:val="TableNormal"/>
    <w:uiPriority w:val="70"/>
    <w:semiHidden/>
    <w:unhideWhenUsed/>
    <w:rsid w:val="00167B18"/>
    <w:pPr>
      <w:spacing w:after="0" w:line="240" w:lineRule="auto"/>
    </w:pPr>
    <w:rPr>
      <w:color w:val="FFFFFF" w:themeColor="background1"/>
    </w:rPr>
    <w:tblPr>
      <w:tblStyleRowBandSize w:val="1"/>
      <w:tblStyleColBandSize w:val="1"/>
    </w:tblPr>
    <w:tcPr>
      <w:shd w:val="clear" w:color="auto" w:fill="8064A2" w:themeFill="accent4"/>
    </w:tcPr>
    <w:tblStylePr w:type="firstRow">
      <w:rPr>
        <w:b/>
        <w:bCs/>
      </w:rPr>
      <w:tblPr/>
      <w:tcPr>
        <w:tcBorders>
          <w:top w:val="nil"/>
          <w:left w:val="nil"/>
          <w:bottom w:val="single" w:sz="18" w:space="0" w:color="FFFFFF" w:themeColor="background1"/>
          <w:right w:val="nil"/>
          <w:insideH w:val="nil"/>
          <w:insideV w:val="nil"/>
        </w:tcBorders>
        <w:shd w:val="clear" w:color="auto" w:fill="000000" w:themeFill="text1"/>
      </w:tcPr>
    </w:tblStylePr>
    <w:tblStylePr w:type="lastRow">
      <w:tblPr/>
      <w:tcPr>
        <w:tcBorders>
          <w:top w:val="single" w:sz="18" w:space="0" w:color="FFFFFF" w:themeColor="background1"/>
          <w:left w:val="nil"/>
          <w:bottom w:val="nil"/>
          <w:right w:val="nil"/>
          <w:insideH w:val="nil"/>
          <w:insideV w:val="nil"/>
        </w:tcBorders>
        <w:shd w:val="clear" w:color="auto" w:fill="3F3151" w:themeFill="accent4" w:themeFillShade="7F"/>
      </w:tcPr>
    </w:tblStylePr>
    <w:tblStylePr w:type="firstCol">
      <w:tblPr/>
      <w:tcPr>
        <w:tcBorders>
          <w:top w:val="nil"/>
          <w:left w:val="nil"/>
          <w:bottom w:val="nil"/>
          <w:right w:val="single" w:sz="18" w:space="0" w:color="FFFFFF" w:themeColor="background1"/>
          <w:insideH w:val="nil"/>
          <w:insideV w:val="nil"/>
        </w:tcBorders>
        <w:shd w:val="clear" w:color="auto" w:fill="5F497A" w:themeFill="accent4" w:themeFillShade="BF"/>
      </w:tcPr>
    </w:tblStylePr>
    <w:tblStylePr w:type="lastCol">
      <w:tblPr/>
      <w:tcPr>
        <w:tcBorders>
          <w:top w:val="nil"/>
          <w:left w:val="single" w:sz="18" w:space="0" w:color="FFFFFF" w:themeColor="background1"/>
          <w:bottom w:val="nil"/>
          <w:right w:val="nil"/>
          <w:insideH w:val="nil"/>
          <w:insideV w:val="nil"/>
        </w:tcBorders>
        <w:shd w:val="clear" w:color="auto" w:fill="5F497A" w:themeFill="accent4" w:themeFillShade="BF"/>
      </w:tcPr>
    </w:tblStylePr>
    <w:tblStylePr w:type="band1Vert">
      <w:tblPr/>
      <w:tcPr>
        <w:tcBorders>
          <w:top w:val="nil"/>
          <w:left w:val="nil"/>
          <w:bottom w:val="nil"/>
          <w:right w:val="nil"/>
          <w:insideH w:val="nil"/>
          <w:insideV w:val="nil"/>
        </w:tcBorders>
        <w:shd w:val="clear" w:color="auto" w:fill="5F497A" w:themeFill="accent4" w:themeFillShade="BF"/>
      </w:tcPr>
    </w:tblStylePr>
    <w:tblStylePr w:type="band1Horz">
      <w:tblPr/>
      <w:tcPr>
        <w:tcBorders>
          <w:top w:val="nil"/>
          <w:left w:val="nil"/>
          <w:bottom w:val="nil"/>
          <w:right w:val="nil"/>
          <w:insideH w:val="nil"/>
          <w:insideV w:val="nil"/>
        </w:tcBorders>
        <w:shd w:val="clear" w:color="auto" w:fill="5F497A" w:themeFill="accent4" w:themeFillShade="BF"/>
      </w:tcPr>
    </w:tblStylePr>
  </w:style>
  <w:style w:type="table" w:styleId="DarkList-Accent5">
    <w:name w:val="Dark List Accent 5"/>
    <w:basedOn w:val="TableNormal"/>
    <w:uiPriority w:val="70"/>
    <w:semiHidden/>
    <w:unhideWhenUsed/>
    <w:rsid w:val="00167B18"/>
    <w:pPr>
      <w:spacing w:after="0" w:line="240" w:lineRule="auto"/>
    </w:pPr>
    <w:rPr>
      <w:color w:val="FFFFFF" w:themeColor="background1"/>
    </w:rPr>
    <w:tblPr>
      <w:tblStyleRowBandSize w:val="1"/>
      <w:tblStyleColBandSize w:val="1"/>
    </w:tblPr>
    <w:tcPr>
      <w:shd w:val="clear" w:color="auto" w:fill="4BACC6" w:themeFill="accent5"/>
    </w:tcPr>
    <w:tblStylePr w:type="firstRow">
      <w:rPr>
        <w:b/>
        <w:bCs/>
      </w:rPr>
      <w:tblPr/>
      <w:tcPr>
        <w:tcBorders>
          <w:top w:val="nil"/>
          <w:left w:val="nil"/>
          <w:bottom w:val="single" w:sz="18" w:space="0" w:color="FFFFFF" w:themeColor="background1"/>
          <w:right w:val="nil"/>
          <w:insideH w:val="nil"/>
          <w:insideV w:val="nil"/>
        </w:tcBorders>
        <w:shd w:val="clear" w:color="auto" w:fill="000000" w:themeFill="text1"/>
      </w:tcPr>
    </w:tblStylePr>
    <w:tblStylePr w:type="lastRow">
      <w:tblPr/>
      <w:tcPr>
        <w:tcBorders>
          <w:top w:val="single" w:sz="18" w:space="0" w:color="FFFFFF" w:themeColor="background1"/>
          <w:left w:val="nil"/>
          <w:bottom w:val="nil"/>
          <w:right w:val="nil"/>
          <w:insideH w:val="nil"/>
          <w:insideV w:val="nil"/>
        </w:tcBorders>
        <w:shd w:val="clear" w:color="auto" w:fill="205867" w:themeFill="accent5" w:themeFillShade="7F"/>
      </w:tcPr>
    </w:tblStylePr>
    <w:tblStylePr w:type="firstCol">
      <w:tblPr/>
      <w:tcPr>
        <w:tcBorders>
          <w:top w:val="nil"/>
          <w:left w:val="nil"/>
          <w:bottom w:val="nil"/>
          <w:right w:val="single" w:sz="18" w:space="0" w:color="FFFFFF" w:themeColor="background1"/>
          <w:insideH w:val="nil"/>
          <w:insideV w:val="nil"/>
        </w:tcBorders>
        <w:shd w:val="clear" w:color="auto" w:fill="31849B" w:themeFill="accent5" w:themeFillShade="BF"/>
      </w:tcPr>
    </w:tblStylePr>
    <w:tblStylePr w:type="lastCol">
      <w:tblPr/>
      <w:tcPr>
        <w:tcBorders>
          <w:top w:val="nil"/>
          <w:left w:val="single" w:sz="18" w:space="0" w:color="FFFFFF" w:themeColor="background1"/>
          <w:bottom w:val="nil"/>
          <w:right w:val="nil"/>
          <w:insideH w:val="nil"/>
          <w:insideV w:val="nil"/>
        </w:tcBorders>
        <w:shd w:val="clear" w:color="auto" w:fill="31849B" w:themeFill="accent5" w:themeFillShade="BF"/>
      </w:tcPr>
    </w:tblStylePr>
    <w:tblStylePr w:type="band1Vert">
      <w:tblPr/>
      <w:tcPr>
        <w:tcBorders>
          <w:top w:val="nil"/>
          <w:left w:val="nil"/>
          <w:bottom w:val="nil"/>
          <w:right w:val="nil"/>
          <w:insideH w:val="nil"/>
          <w:insideV w:val="nil"/>
        </w:tcBorders>
        <w:shd w:val="clear" w:color="auto" w:fill="31849B" w:themeFill="accent5" w:themeFillShade="BF"/>
      </w:tcPr>
    </w:tblStylePr>
    <w:tblStylePr w:type="band1Horz">
      <w:tblPr/>
      <w:tcPr>
        <w:tcBorders>
          <w:top w:val="nil"/>
          <w:left w:val="nil"/>
          <w:bottom w:val="nil"/>
          <w:right w:val="nil"/>
          <w:insideH w:val="nil"/>
          <w:insideV w:val="nil"/>
        </w:tcBorders>
        <w:shd w:val="clear" w:color="auto" w:fill="31849B" w:themeFill="accent5" w:themeFillShade="BF"/>
      </w:tcPr>
    </w:tblStylePr>
  </w:style>
  <w:style w:type="table" w:styleId="DarkList-Accent6">
    <w:name w:val="Dark List Accent 6"/>
    <w:basedOn w:val="TableNormal"/>
    <w:uiPriority w:val="70"/>
    <w:semiHidden/>
    <w:unhideWhenUsed/>
    <w:rsid w:val="00167B18"/>
    <w:pPr>
      <w:spacing w:after="0" w:line="240" w:lineRule="auto"/>
    </w:pPr>
    <w:rPr>
      <w:color w:val="FFFFFF" w:themeColor="background1"/>
    </w:rPr>
    <w:tblPr>
      <w:tblStyleRowBandSize w:val="1"/>
      <w:tblStyleColBandSize w:val="1"/>
    </w:tblPr>
    <w:tcPr>
      <w:shd w:val="clear" w:color="auto" w:fill="F79646" w:themeFill="accent6"/>
    </w:tcPr>
    <w:tblStylePr w:type="firstRow">
      <w:rPr>
        <w:b/>
        <w:bCs/>
      </w:rPr>
      <w:tblPr/>
      <w:tcPr>
        <w:tcBorders>
          <w:top w:val="nil"/>
          <w:left w:val="nil"/>
          <w:bottom w:val="single" w:sz="18" w:space="0" w:color="FFFFFF" w:themeColor="background1"/>
          <w:right w:val="nil"/>
          <w:insideH w:val="nil"/>
          <w:insideV w:val="nil"/>
        </w:tcBorders>
        <w:shd w:val="clear" w:color="auto" w:fill="000000" w:themeFill="text1"/>
      </w:tcPr>
    </w:tblStylePr>
    <w:tblStylePr w:type="lastRow">
      <w:tblPr/>
      <w:tcPr>
        <w:tcBorders>
          <w:top w:val="single" w:sz="18" w:space="0" w:color="FFFFFF" w:themeColor="background1"/>
          <w:left w:val="nil"/>
          <w:bottom w:val="nil"/>
          <w:right w:val="nil"/>
          <w:insideH w:val="nil"/>
          <w:insideV w:val="nil"/>
        </w:tcBorders>
        <w:shd w:val="clear" w:color="auto" w:fill="974706" w:themeFill="accent6" w:themeFillShade="7F"/>
      </w:tcPr>
    </w:tblStylePr>
    <w:tblStylePr w:type="firstCol">
      <w:tblPr/>
      <w:tcPr>
        <w:tcBorders>
          <w:top w:val="nil"/>
          <w:left w:val="nil"/>
          <w:bottom w:val="nil"/>
          <w:right w:val="single" w:sz="18" w:space="0" w:color="FFFFFF" w:themeColor="background1"/>
          <w:insideH w:val="nil"/>
          <w:insideV w:val="nil"/>
        </w:tcBorders>
        <w:shd w:val="clear" w:color="auto" w:fill="E36C0A" w:themeFill="accent6" w:themeFillShade="BF"/>
      </w:tcPr>
    </w:tblStylePr>
    <w:tblStylePr w:type="lastCol">
      <w:tblPr/>
      <w:tcPr>
        <w:tcBorders>
          <w:top w:val="nil"/>
          <w:left w:val="single" w:sz="18" w:space="0" w:color="FFFFFF" w:themeColor="background1"/>
          <w:bottom w:val="nil"/>
          <w:right w:val="nil"/>
          <w:insideH w:val="nil"/>
          <w:insideV w:val="nil"/>
        </w:tcBorders>
        <w:shd w:val="clear" w:color="auto" w:fill="E36C0A" w:themeFill="accent6" w:themeFillShade="BF"/>
      </w:tcPr>
    </w:tblStylePr>
    <w:tblStylePr w:type="band1Vert">
      <w:tblPr/>
      <w:tcPr>
        <w:tcBorders>
          <w:top w:val="nil"/>
          <w:left w:val="nil"/>
          <w:bottom w:val="nil"/>
          <w:right w:val="nil"/>
          <w:insideH w:val="nil"/>
          <w:insideV w:val="nil"/>
        </w:tcBorders>
        <w:shd w:val="clear" w:color="auto" w:fill="E36C0A" w:themeFill="accent6" w:themeFillShade="BF"/>
      </w:tcPr>
    </w:tblStylePr>
    <w:tblStylePr w:type="band1Horz">
      <w:tblPr/>
      <w:tcPr>
        <w:tcBorders>
          <w:top w:val="nil"/>
          <w:left w:val="nil"/>
          <w:bottom w:val="nil"/>
          <w:right w:val="nil"/>
          <w:insideH w:val="nil"/>
          <w:insideV w:val="nil"/>
        </w:tcBorders>
        <w:shd w:val="clear" w:color="auto" w:fill="E36C0A" w:themeFill="accent6" w:themeFillShade="BF"/>
      </w:tcPr>
    </w:tblStylePr>
  </w:style>
  <w:style w:type="paragraph" w:styleId="Date">
    <w:name w:val="Date"/>
    <w:basedOn w:val="Normal"/>
    <w:next w:val="Normal"/>
    <w:link w:val="DateChar"/>
    <w:uiPriority w:val="99"/>
    <w:semiHidden/>
    <w:unhideWhenUsed/>
    <w:rsid w:val="00167B18"/>
  </w:style>
  <w:style w:type="character" w:customStyle="1" w:styleId="DateChar">
    <w:name w:val="Date Char"/>
    <w:basedOn w:val="DefaultParagraphFont"/>
    <w:link w:val="Date"/>
    <w:uiPriority w:val="99"/>
    <w:semiHidden/>
    <w:rsid w:val="00167B18"/>
    <w:rPr>
      <w:rFonts w:ascii="Times New Roman" w:eastAsia="Times New Roman" w:hAnsi="Times New Roman" w:cs="Times New Roman"/>
      <w:sz w:val="24"/>
      <w:szCs w:val="24"/>
    </w:rPr>
  </w:style>
  <w:style w:type="paragraph" w:styleId="E-mailSignature">
    <w:name w:val="E-mail Signature"/>
    <w:basedOn w:val="Normal"/>
    <w:link w:val="E-mailSignatureChar"/>
    <w:uiPriority w:val="99"/>
    <w:semiHidden/>
    <w:unhideWhenUsed/>
    <w:rsid w:val="00167B18"/>
    <w:pPr>
      <w:spacing w:after="0"/>
    </w:pPr>
  </w:style>
  <w:style w:type="character" w:customStyle="1" w:styleId="E-mailSignatureChar">
    <w:name w:val="E-mail Signature Char"/>
    <w:basedOn w:val="DefaultParagraphFont"/>
    <w:link w:val="E-mailSignature"/>
    <w:uiPriority w:val="99"/>
    <w:semiHidden/>
    <w:rsid w:val="00167B18"/>
    <w:rPr>
      <w:rFonts w:ascii="Times New Roman" w:eastAsia="Times New Roman" w:hAnsi="Times New Roman" w:cs="Times New Roman"/>
      <w:sz w:val="24"/>
      <w:szCs w:val="24"/>
    </w:rPr>
  </w:style>
  <w:style w:type="paragraph" w:styleId="EnvelopeAddress">
    <w:name w:val="envelope address"/>
    <w:basedOn w:val="Normal"/>
    <w:uiPriority w:val="99"/>
    <w:semiHidden/>
    <w:unhideWhenUsed/>
    <w:rsid w:val="00167B18"/>
    <w:pPr>
      <w:framePr w:w="7920" w:h="1980" w:hRule="exact" w:hSpace="180" w:wrap="auto" w:hAnchor="page" w:xAlign="center" w:yAlign="bottom"/>
      <w:spacing w:after="0"/>
      <w:ind w:left="2880"/>
    </w:pPr>
    <w:rPr>
      <w:rFonts w:asciiTheme="majorHAnsi" w:eastAsiaTheme="majorEastAsia" w:hAnsiTheme="majorHAnsi" w:cstheme="majorBidi"/>
    </w:rPr>
  </w:style>
  <w:style w:type="paragraph" w:styleId="EnvelopeReturn">
    <w:name w:val="envelope return"/>
    <w:basedOn w:val="Normal"/>
    <w:uiPriority w:val="99"/>
    <w:semiHidden/>
    <w:unhideWhenUsed/>
    <w:rsid w:val="00167B18"/>
    <w:pPr>
      <w:spacing w:after="0"/>
    </w:pPr>
    <w:rPr>
      <w:rFonts w:asciiTheme="majorHAnsi" w:eastAsiaTheme="majorEastAsia" w:hAnsiTheme="majorHAnsi" w:cstheme="majorBidi"/>
      <w:sz w:val="20"/>
      <w:szCs w:val="20"/>
    </w:rPr>
  </w:style>
  <w:style w:type="table" w:styleId="GridTable1Light">
    <w:name w:val="Grid Table 1 Light"/>
    <w:basedOn w:val="TableNormal"/>
    <w:uiPriority w:val="46"/>
    <w:rsid w:val="00167B18"/>
    <w:pPr>
      <w:spacing w:after="0" w:line="240" w:lineRule="auto"/>
    </w:pPr>
    <w:tblPr>
      <w:tblStyleRowBandSize w:val="1"/>
      <w:tblStyleColBandSize w:val="1"/>
      <w:tblBorders>
        <w:top w:val="single" w:sz="4" w:space="0" w:color="999999" w:themeColor="text1" w:themeTint="66"/>
        <w:left w:val="single" w:sz="4" w:space="0" w:color="999999" w:themeColor="text1" w:themeTint="66"/>
        <w:bottom w:val="single" w:sz="4" w:space="0" w:color="999999" w:themeColor="text1" w:themeTint="66"/>
        <w:right w:val="single" w:sz="4" w:space="0" w:color="999999" w:themeColor="text1" w:themeTint="66"/>
        <w:insideH w:val="single" w:sz="4" w:space="0" w:color="999999" w:themeColor="text1" w:themeTint="66"/>
        <w:insideV w:val="single" w:sz="4" w:space="0" w:color="999999" w:themeColor="text1" w:themeTint="66"/>
      </w:tblBorders>
    </w:tblPr>
    <w:tblStylePr w:type="firstRow">
      <w:rPr>
        <w:b/>
        <w:bCs/>
      </w:rPr>
      <w:tblPr/>
      <w:tcPr>
        <w:tcBorders>
          <w:bottom w:val="single" w:sz="12" w:space="0" w:color="666666" w:themeColor="text1" w:themeTint="99"/>
        </w:tcBorders>
      </w:tcPr>
    </w:tblStylePr>
    <w:tblStylePr w:type="lastRow">
      <w:rPr>
        <w:b/>
        <w:bCs/>
      </w:rPr>
      <w:tblPr/>
      <w:tcPr>
        <w:tcBorders>
          <w:top w:val="double" w:sz="2" w:space="0" w:color="666666" w:themeColor="text1" w:themeTint="99"/>
        </w:tcBorders>
      </w:tcPr>
    </w:tblStylePr>
    <w:tblStylePr w:type="firstCol">
      <w:rPr>
        <w:b/>
        <w:bCs/>
      </w:rPr>
    </w:tblStylePr>
    <w:tblStylePr w:type="lastCol">
      <w:rPr>
        <w:b/>
        <w:bCs/>
      </w:rPr>
    </w:tblStylePr>
  </w:style>
  <w:style w:type="table" w:styleId="GridTable1Light-Accent1">
    <w:name w:val="Grid Table 1 Light Accent 1"/>
    <w:basedOn w:val="TableNormal"/>
    <w:uiPriority w:val="46"/>
    <w:rsid w:val="00167B18"/>
    <w:pPr>
      <w:spacing w:after="0" w:line="240" w:lineRule="auto"/>
    </w:pPr>
    <w:tblPr>
      <w:tblStyleRowBandSize w:val="1"/>
      <w:tblStyleColBandSize w:val="1"/>
      <w:tblBorders>
        <w:top w:val="single" w:sz="4" w:space="0" w:color="B8CCE4" w:themeColor="accent1" w:themeTint="66"/>
        <w:left w:val="single" w:sz="4" w:space="0" w:color="B8CCE4" w:themeColor="accent1" w:themeTint="66"/>
        <w:bottom w:val="single" w:sz="4" w:space="0" w:color="B8CCE4" w:themeColor="accent1" w:themeTint="66"/>
        <w:right w:val="single" w:sz="4" w:space="0" w:color="B8CCE4" w:themeColor="accent1" w:themeTint="66"/>
        <w:insideH w:val="single" w:sz="4" w:space="0" w:color="B8CCE4" w:themeColor="accent1" w:themeTint="66"/>
        <w:insideV w:val="single" w:sz="4" w:space="0" w:color="B8CCE4" w:themeColor="accent1" w:themeTint="66"/>
      </w:tblBorders>
    </w:tblPr>
    <w:tblStylePr w:type="firstRow">
      <w:rPr>
        <w:b/>
        <w:bCs/>
      </w:rPr>
      <w:tblPr/>
      <w:tcPr>
        <w:tcBorders>
          <w:bottom w:val="single" w:sz="12" w:space="0" w:color="95B3D7" w:themeColor="accent1" w:themeTint="99"/>
        </w:tcBorders>
      </w:tcPr>
    </w:tblStylePr>
    <w:tblStylePr w:type="lastRow">
      <w:rPr>
        <w:b/>
        <w:bCs/>
      </w:rPr>
      <w:tblPr/>
      <w:tcPr>
        <w:tcBorders>
          <w:top w:val="double" w:sz="2" w:space="0" w:color="95B3D7" w:themeColor="accent1" w:themeTint="99"/>
        </w:tcBorders>
      </w:tcPr>
    </w:tblStylePr>
    <w:tblStylePr w:type="firstCol">
      <w:rPr>
        <w:b/>
        <w:bCs/>
      </w:rPr>
    </w:tblStylePr>
    <w:tblStylePr w:type="lastCol">
      <w:rPr>
        <w:b/>
        <w:bCs/>
      </w:rPr>
    </w:tblStylePr>
  </w:style>
  <w:style w:type="table" w:styleId="GridTable1Light-Accent2">
    <w:name w:val="Grid Table 1 Light Accent 2"/>
    <w:basedOn w:val="TableNormal"/>
    <w:uiPriority w:val="46"/>
    <w:rsid w:val="00167B18"/>
    <w:pPr>
      <w:spacing w:after="0" w:line="240" w:lineRule="auto"/>
    </w:pPr>
    <w:tblPr>
      <w:tblStyleRowBandSize w:val="1"/>
      <w:tblStyleColBandSize w:val="1"/>
      <w:tblBorders>
        <w:top w:val="single" w:sz="4" w:space="0" w:color="E5B8B7" w:themeColor="accent2" w:themeTint="66"/>
        <w:left w:val="single" w:sz="4" w:space="0" w:color="E5B8B7" w:themeColor="accent2" w:themeTint="66"/>
        <w:bottom w:val="single" w:sz="4" w:space="0" w:color="E5B8B7" w:themeColor="accent2" w:themeTint="66"/>
        <w:right w:val="single" w:sz="4" w:space="0" w:color="E5B8B7" w:themeColor="accent2" w:themeTint="66"/>
        <w:insideH w:val="single" w:sz="4" w:space="0" w:color="E5B8B7" w:themeColor="accent2" w:themeTint="66"/>
        <w:insideV w:val="single" w:sz="4" w:space="0" w:color="E5B8B7" w:themeColor="accent2" w:themeTint="66"/>
      </w:tblBorders>
    </w:tblPr>
    <w:tblStylePr w:type="firstRow">
      <w:rPr>
        <w:b/>
        <w:bCs/>
      </w:rPr>
      <w:tblPr/>
      <w:tcPr>
        <w:tcBorders>
          <w:bottom w:val="single" w:sz="12" w:space="0" w:color="D99594" w:themeColor="accent2" w:themeTint="99"/>
        </w:tcBorders>
      </w:tcPr>
    </w:tblStylePr>
    <w:tblStylePr w:type="lastRow">
      <w:rPr>
        <w:b/>
        <w:bCs/>
      </w:rPr>
      <w:tblPr/>
      <w:tcPr>
        <w:tcBorders>
          <w:top w:val="double" w:sz="2" w:space="0" w:color="D99594" w:themeColor="accent2" w:themeTint="99"/>
        </w:tcBorders>
      </w:tcPr>
    </w:tblStylePr>
    <w:tblStylePr w:type="firstCol">
      <w:rPr>
        <w:b/>
        <w:bCs/>
      </w:rPr>
    </w:tblStylePr>
    <w:tblStylePr w:type="lastCol">
      <w:rPr>
        <w:b/>
        <w:bCs/>
      </w:rPr>
    </w:tblStylePr>
  </w:style>
  <w:style w:type="table" w:styleId="GridTable1Light-Accent3">
    <w:name w:val="Grid Table 1 Light Accent 3"/>
    <w:basedOn w:val="TableNormal"/>
    <w:uiPriority w:val="46"/>
    <w:rsid w:val="00167B18"/>
    <w:pPr>
      <w:spacing w:after="0" w:line="240" w:lineRule="auto"/>
    </w:pPr>
    <w:tblPr>
      <w:tblStyleRowBandSize w:val="1"/>
      <w:tblStyleColBandSize w:val="1"/>
      <w:tblBorders>
        <w:top w:val="single" w:sz="4" w:space="0" w:color="D6E3BC" w:themeColor="accent3" w:themeTint="66"/>
        <w:left w:val="single" w:sz="4" w:space="0" w:color="D6E3BC" w:themeColor="accent3" w:themeTint="66"/>
        <w:bottom w:val="single" w:sz="4" w:space="0" w:color="D6E3BC" w:themeColor="accent3" w:themeTint="66"/>
        <w:right w:val="single" w:sz="4" w:space="0" w:color="D6E3BC" w:themeColor="accent3" w:themeTint="66"/>
        <w:insideH w:val="single" w:sz="4" w:space="0" w:color="D6E3BC" w:themeColor="accent3" w:themeTint="66"/>
        <w:insideV w:val="single" w:sz="4" w:space="0" w:color="D6E3BC" w:themeColor="accent3" w:themeTint="66"/>
      </w:tblBorders>
    </w:tblPr>
    <w:tblStylePr w:type="firstRow">
      <w:rPr>
        <w:b/>
        <w:bCs/>
      </w:rPr>
      <w:tblPr/>
      <w:tcPr>
        <w:tcBorders>
          <w:bottom w:val="single" w:sz="12" w:space="0" w:color="C2D69B" w:themeColor="accent3" w:themeTint="99"/>
        </w:tcBorders>
      </w:tcPr>
    </w:tblStylePr>
    <w:tblStylePr w:type="lastRow">
      <w:rPr>
        <w:b/>
        <w:bCs/>
      </w:rPr>
      <w:tblPr/>
      <w:tcPr>
        <w:tcBorders>
          <w:top w:val="double" w:sz="2" w:space="0" w:color="C2D69B" w:themeColor="accent3" w:themeTint="99"/>
        </w:tcBorders>
      </w:tcPr>
    </w:tblStylePr>
    <w:tblStylePr w:type="firstCol">
      <w:rPr>
        <w:b/>
        <w:bCs/>
      </w:rPr>
    </w:tblStylePr>
    <w:tblStylePr w:type="lastCol">
      <w:rPr>
        <w:b/>
        <w:bCs/>
      </w:rPr>
    </w:tblStylePr>
  </w:style>
  <w:style w:type="table" w:styleId="GridTable1Light-Accent4">
    <w:name w:val="Grid Table 1 Light Accent 4"/>
    <w:basedOn w:val="TableNormal"/>
    <w:uiPriority w:val="46"/>
    <w:rsid w:val="00167B18"/>
    <w:pPr>
      <w:spacing w:after="0" w:line="240" w:lineRule="auto"/>
    </w:pPr>
    <w:tblPr>
      <w:tblStyleRowBandSize w:val="1"/>
      <w:tblStyleColBandSize w:val="1"/>
      <w:tblBorders>
        <w:top w:val="single" w:sz="4" w:space="0" w:color="CCC0D9" w:themeColor="accent4" w:themeTint="66"/>
        <w:left w:val="single" w:sz="4" w:space="0" w:color="CCC0D9" w:themeColor="accent4" w:themeTint="66"/>
        <w:bottom w:val="single" w:sz="4" w:space="0" w:color="CCC0D9" w:themeColor="accent4" w:themeTint="66"/>
        <w:right w:val="single" w:sz="4" w:space="0" w:color="CCC0D9" w:themeColor="accent4" w:themeTint="66"/>
        <w:insideH w:val="single" w:sz="4" w:space="0" w:color="CCC0D9" w:themeColor="accent4" w:themeTint="66"/>
        <w:insideV w:val="single" w:sz="4" w:space="0" w:color="CCC0D9" w:themeColor="accent4" w:themeTint="66"/>
      </w:tblBorders>
    </w:tblPr>
    <w:tblStylePr w:type="firstRow">
      <w:rPr>
        <w:b/>
        <w:bCs/>
      </w:rPr>
      <w:tblPr/>
      <w:tcPr>
        <w:tcBorders>
          <w:bottom w:val="single" w:sz="12" w:space="0" w:color="B2A1C7" w:themeColor="accent4" w:themeTint="99"/>
        </w:tcBorders>
      </w:tcPr>
    </w:tblStylePr>
    <w:tblStylePr w:type="lastRow">
      <w:rPr>
        <w:b/>
        <w:bCs/>
      </w:rPr>
      <w:tblPr/>
      <w:tcPr>
        <w:tcBorders>
          <w:top w:val="double" w:sz="2" w:space="0" w:color="B2A1C7" w:themeColor="accent4" w:themeTint="99"/>
        </w:tcBorders>
      </w:tcPr>
    </w:tblStylePr>
    <w:tblStylePr w:type="firstCol">
      <w:rPr>
        <w:b/>
        <w:bCs/>
      </w:rPr>
    </w:tblStylePr>
    <w:tblStylePr w:type="lastCol">
      <w:rPr>
        <w:b/>
        <w:bCs/>
      </w:rPr>
    </w:tblStylePr>
  </w:style>
  <w:style w:type="table" w:styleId="GridTable1Light-Accent5">
    <w:name w:val="Grid Table 1 Light Accent 5"/>
    <w:basedOn w:val="TableNormal"/>
    <w:uiPriority w:val="46"/>
    <w:rsid w:val="00167B18"/>
    <w:pPr>
      <w:spacing w:after="0" w:line="240" w:lineRule="auto"/>
    </w:pPr>
    <w:tblPr>
      <w:tblStyleRowBandSize w:val="1"/>
      <w:tblStyleColBandSize w:val="1"/>
      <w:tblBorders>
        <w:top w:val="single" w:sz="4" w:space="0" w:color="B6DDE8" w:themeColor="accent5" w:themeTint="66"/>
        <w:left w:val="single" w:sz="4" w:space="0" w:color="B6DDE8" w:themeColor="accent5" w:themeTint="66"/>
        <w:bottom w:val="single" w:sz="4" w:space="0" w:color="B6DDE8" w:themeColor="accent5" w:themeTint="66"/>
        <w:right w:val="single" w:sz="4" w:space="0" w:color="B6DDE8" w:themeColor="accent5" w:themeTint="66"/>
        <w:insideH w:val="single" w:sz="4" w:space="0" w:color="B6DDE8" w:themeColor="accent5" w:themeTint="66"/>
        <w:insideV w:val="single" w:sz="4" w:space="0" w:color="B6DDE8" w:themeColor="accent5" w:themeTint="66"/>
      </w:tblBorders>
    </w:tblPr>
    <w:tblStylePr w:type="firstRow">
      <w:rPr>
        <w:b/>
        <w:bCs/>
      </w:rPr>
      <w:tblPr/>
      <w:tcPr>
        <w:tcBorders>
          <w:bottom w:val="single" w:sz="12" w:space="0" w:color="92CDDC" w:themeColor="accent5" w:themeTint="99"/>
        </w:tcBorders>
      </w:tcPr>
    </w:tblStylePr>
    <w:tblStylePr w:type="lastRow">
      <w:rPr>
        <w:b/>
        <w:bCs/>
      </w:rPr>
      <w:tblPr/>
      <w:tcPr>
        <w:tcBorders>
          <w:top w:val="double" w:sz="2" w:space="0" w:color="92CDDC" w:themeColor="accent5" w:themeTint="99"/>
        </w:tcBorders>
      </w:tcPr>
    </w:tblStylePr>
    <w:tblStylePr w:type="firstCol">
      <w:rPr>
        <w:b/>
        <w:bCs/>
      </w:rPr>
    </w:tblStylePr>
    <w:tblStylePr w:type="lastCol">
      <w:rPr>
        <w:b/>
        <w:bCs/>
      </w:rPr>
    </w:tblStylePr>
  </w:style>
  <w:style w:type="table" w:styleId="GridTable1Light-Accent6">
    <w:name w:val="Grid Table 1 Light Accent 6"/>
    <w:basedOn w:val="TableNormal"/>
    <w:uiPriority w:val="46"/>
    <w:rsid w:val="00167B18"/>
    <w:pPr>
      <w:spacing w:after="0" w:line="240" w:lineRule="auto"/>
    </w:pPr>
    <w:tblPr>
      <w:tblStyleRowBandSize w:val="1"/>
      <w:tblStyleColBandSize w:val="1"/>
      <w:tblBorders>
        <w:top w:val="single" w:sz="4" w:space="0" w:color="FBD4B4" w:themeColor="accent6" w:themeTint="66"/>
        <w:left w:val="single" w:sz="4" w:space="0" w:color="FBD4B4" w:themeColor="accent6" w:themeTint="66"/>
        <w:bottom w:val="single" w:sz="4" w:space="0" w:color="FBD4B4" w:themeColor="accent6" w:themeTint="66"/>
        <w:right w:val="single" w:sz="4" w:space="0" w:color="FBD4B4" w:themeColor="accent6" w:themeTint="66"/>
        <w:insideH w:val="single" w:sz="4" w:space="0" w:color="FBD4B4" w:themeColor="accent6" w:themeTint="66"/>
        <w:insideV w:val="single" w:sz="4" w:space="0" w:color="FBD4B4" w:themeColor="accent6" w:themeTint="66"/>
      </w:tblBorders>
    </w:tblPr>
    <w:tblStylePr w:type="firstRow">
      <w:rPr>
        <w:b/>
        <w:bCs/>
      </w:rPr>
      <w:tblPr/>
      <w:tcPr>
        <w:tcBorders>
          <w:bottom w:val="single" w:sz="12" w:space="0" w:color="FABF8F" w:themeColor="accent6" w:themeTint="99"/>
        </w:tcBorders>
      </w:tcPr>
    </w:tblStylePr>
    <w:tblStylePr w:type="lastRow">
      <w:rPr>
        <w:b/>
        <w:bCs/>
      </w:rPr>
      <w:tblPr/>
      <w:tcPr>
        <w:tcBorders>
          <w:top w:val="double" w:sz="2" w:space="0" w:color="FABF8F" w:themeColor="accent6" w:themeTint="99"/>
        </w:tcBorders>
      </w:tcPr>
    </w:tblStylePr>
    <w:tblStylePr w:type="firstCol">
      <w:rPr>
        <w:b/>
        <w:bCs/>
      </w:rPr>
    </w:tblStylePr>
    <w:tblStylePr w:type="lastCol">
      <w:rPr>
        <w:b/>
        <w:bCs/>
      </w:rPr>
    </w:tblStylePr>
  </w:style>
  <w:style w:type="table" w:styleId="GridTable2">
    <w:name w:val="Grid Table 2"/>
    <w:basedOn w:val="TableNormal"/>
    <w:uiPriority w:val="47"/>
    <w:rsid w:val="00167B18"/>
    <w:pPr>
      <w:spacing w:after="0" w:line="240" w:lineRule="auto"/>
    </w:pPr>
    <w:tblPr>
      <w:tblStyleRowBandSize w:val="1"/>
      <w:tblStyleColBandSize w:val="1"/>
      <w:tblBorders>
        <w:top w:val="single" w:sz="2" w:space="0" w:color="666666" w:themeColor="text1" w:themeTint="99"/>
        <w:bottom w:val="single" w:sz="2" w:space="0" w:color="666666" w:themeColor="text1" w:themeTint="99"/>
        <w:insideH w:val="single" w:sz="2" w:space="0" w:color="666666" w:themeColor="text1" w:themeTint="99"/>
        <w:insideV w:val="single" w:sz="2" w:space="0" w:color="666666" w:themeColor="text1" w:themeTint="99"/>
      </w:tblBorders>
    </w:tblPr>
    <w:tblStylePr w:type="firstRow">
      <w:rPr>
        <w:b/>
        <w:bCs/>
      </w:rPr>
      <w:tblPr/>
      <w:tcPr>
        <w:tcBorders>
          <w:top w:val="nil"/>
          <w:bottom w:val="single" w:sz="12" w:space="0" w:color="666666" w:themeColor="text1" w:themeTint="99"/>
          <w:insideH w:val="nil"/>
          <w:insideV w:val="nil"/>
        </w:tcBorders>
        <w:shd w:val="clear" w:color="auto" w:fill="FFFFFF" w:themeFill="background1"/>
      </w:tcPr>
    </w:tblStylePr>
    <w:tblStylePr w:type="lastRow">
      <w:rPr>
        <w:b/>
        <w:bCs/>
      </w:rPr>
      <w:tblPr/>
      <w:tcPr>
        <w:tcBorders>
          <w:top w:val="double" w:sz="2" w:space="0" w:color="666666" w:themeColor="text1" w:themeTint="99"/>
          <w:bottom w:val="nil"/>
          <w:insideH w:val="nil"/>
          <w:insideV w:val="nil"/>
        </w:tcBorders>
        <w:shd w:val="clear" w:color="auto" w:fill="FFFFFF" w:themeFill="background1"/>
      </w:tcPr>
    </w:tblStylePr>
    <w:tblStylePr w:type="firstCol">
      <w:rPr>
        <w:b/>
        <w:bCs/>
      </w:rPr>
    </w:tblStylePr>
    <w:tblStylePr w:type="lastCol">
      <w:rPr>
        <w:b/>
        <w:bCs/>
      </w:rPr>
    </w:tblStylePr>
    <w:tblStylePr w:type="band1Vert">
      <w:tblPr/>
      <w:tcPr>
        <w:shd w:val="clear" w:color="auto" w:fill="CCCCCC" w:themeFill="text1" w:themeFillTint="33"/>
      </w:tcPr>
    </w:tblStylePr>
    <w:tblStylePr w:type="band1Horz">
      <w:tblPr/>
      <w:tcPr>
        <w:shd w:val="clear" w:color="auto" w:fill="CCCCCC" w:themeFill="text1" w:themeFillTint="33"/>
      </w:tcPr>
    </w:tblStylePr>
  </w:style>
  <w:style w:type="table" w:styleId="GridTable2-Accent1">
    <w:name w:val="Grid Table 2 Accent 1"/>
    <w:basedOn w:val="TableNormal"/>
    <w:uiPriority w:val="47"/>
    <w:rsid w:val="00167B18"/>
    <w:pPr>
      <w:spacing w:after="0" w:line="240" w:lineRule="auto"/>
    </w:pPr>
    <w:tblPr>
      <w:tblStyleRowBandSize w:val="1"/>
      <w:tblStyleColBandSize w:val="1"/>
      <w:tblBorders>
        <w:top w:val="single" w:sz="2" w:space="0" w:color="95B3D7" w:themeColor="accent1" w:themeTint="99"/>
        <w:bottom w:val="single" w:sz="2" w:space="0" w:color="95B3D7" w:themeColor="accent1" w:themeTint="99"/>
        <w:insideH w:val="single" w:sz="2" w:space="0" w:color="95B3D7" w:themeColor="accent1" w:themeTint="99"/>
        <w:insideV w:val="single" w:sz="2" w:space="0" w:color="95B3D7" w:themeColor="accent1" w:themeTint="99"/>
      </w:tblBorders>
    </w:tblPr>
    <w:tblStylePr w:type="firstRow">
      <w:rPr>
        <w:b/>
        <w:bCs/>
      </w:rPr>
      <w:tblPr/>
      <w:tcPr>
        <w:tcBorders>
          <w:top w:val="nil"/>
          <w:bottom w:val="single" w:sz="12" w:space="0" w:color="95B3D7" w:themeColor="accent1" w:themeTint="99"/>
          <w:insideH w:val="nil"/>
          <w:insideV w:val="nil"/>
        </w:tcBorders>
        <w:shd w:val="clear" w:color="auto" w:fill="FFFFFF" w:themeFill="background1"/>
      </w:tcPr>
    </w:tblStylePr>
    <w:tblStylePr w:type="lastRow">
      <w:rPr>
        <w:b/>
        <w:bCs/>
      </w:rPr>
      <w:tblPr/>
      <w:tcPr>
        <w:tcBorders>
          <w:top w:val="double" w:sz="2" w:space="0" w:color="95B3D7" w:themeColor="accent1" w:themeTint="99"/>
          <w:bottom w:val="nil"/>
          <w:insideH w:val="nil"/>
          <w:insideV w:val="nil"/>
        </w:tcBorders>
        <w:shd w:val="clear" w:color="auto" w:fill="FFFFFF" w:themeFill="background1"/>
      </w:tcPr>
    </w:tblStylePr>
    <w:tblStylePr w:type="firstCol">
      <w:rPr>
        <w:b/>
        <w:bCs/>
      </w:rPr>
    </w:tblStylePr>
    <w:tblStylePr w:type="lastCol">
      <w:rPr>
        <w:b/>
        <w:bCs/>
      </w:rPr>
    </w:tblStylePr>
    <w:tblStylePr w:type="band1Vert">
      <w:tblPr/>
      <w:tcPr>
        <w:shd w:val="clear" w:color="auto" w:fill="DBE5F1" w:themeFill="accent1" w:themeFillTint="33"/>
      </w:tcPr>
    </w:tblStylePr>
    <w:tblStylePr w:type="band1Horz">
      <w:tblPr/>
      <w:tcPr>
        <w:shd w:val="clear" w:color="auto" w:fill="DBE5F1" w:themeFill="accent1" w:themeFillTint="33"/>
      </w:tcPr>
    </w:tblStylePr>
  </w:style>
  <w:style w:type="table" w:styleId="GridTable2-Accent2">
    <w:name w:val="Grid Table 2 Accent 2"/>
    <w:basedOn w:val="TableNormal"/>
    <w:uiPriority w:val="47"/>
    <w:rsid w:val="00167B18"/>
    <w:pPr>
      <w:spacing w:after="0" w:line="240" w:lineRule="auto"/>
    </w:pPr>
    <w:tblPr>
      <w:tblStyleRowBandSize w:val="1"/>
      <w:tblStyleColBandSize w:val="1"/>
      <w:tblBorders>
        <w:top w:val="single" w:sz="2" w:space="0" w:color="D99594" w:themeColor="accent2" w:themeTint="99"/>
        <w:bottom w:val="single" w:sz="2" w:space="0" w:color="D99594" w:themeColor="accent2" w:themeTint="99"/>
        <w:insideH w:val="single" w:sz="2" w:space="0" w:color="D99594" w:themeColor="accent2" w:themeTint="99"/>
        <w:insideV w:val="single" w:sz="2" w:space="0" w:color="D99594" w:themeColor="accent2" w:themeTint="99"/>
      </w:tblBorders>
    </w:tblPr>
    <w:tblStylePr w:type="firstRow">
      <w:rPr>
        <w:b/>
        <w:bCs/>
      </w:rPr>
      <w:tblPr/>
      <w:tcPr>
        <w:tcBorders>
          <w:top w:val="nil"/>
          <w:bottom w:val="single" w:sz="12" w:space="0" w:color="D99594" w:themeColor="accent2" w:themeTint="99"/>
          <w:insideH w:val="nil"/>
          <w:insideV w:val="nil"/>
        </w:tcBorders>
        <w:shd w:val="clear" w:color="auto" w:fill="FFFFFF" w:themeFill="background1"/>
      </w:tcPr>
    </w:tblStylePr>
    <w:tblStylePr w:type="lastRow">
      <w:rPr>
        <w:b/>
        <w:bCs/>
      </w:rPr>
      <w:tblPr/>
      <w:tcPr>
        <w:tcBorders>
          <w:top w:val="double" w:sz="2" w:space="0" w:color="D99594" w:themeColor="accent2" w:themeTint="99"/>
          <w:bottom w:val="nil"/>
          <w:insideH w:val="nil"/>
          <w:insideV w:val="nil"/>
        </w:tcBorders>
        <w:shd w:val="clear" w:color="auto" w:fill="FFFFFF" w:themeFill="background1"/>
      </w:tcPr>
    </w:tblStylePr>
    <w:tblStylePr w:type="firstCol">
      <w:rPr>
        <w:b/>
        <w:bCs/>
      </w:rPr>
    </w:tblStylePr>
    <w:tblStylePr w:type="lastCol">
      <w:rPr>
        <w:b/>
        <w:bCs/>
      </w:rPr>
    </w:tblStylePr>
    <w:tblStylePr w:type="band1Vert">
      <w:tblPr/>
      <w:tcPr>
        <w:shd w:val="clear" w:color="auto" w:fill="F2DBDB" w:themeFill="accent2" w:themeFillTint="33"/>
      </w:tcPr>
    </w:tblStylePr>
    <w:tblStylePr w:type="band1Horz">
      <w:tblPr/>
      <w:tcPr>
        <w:shd w:val="clear" w:color="auto" w:fill="F2DBDB" w:themeFill="accent2" w:themeFillTint="33"/>
      </w:tcPr>
    </w:tblStylePr>
  </w:style>
  <w:style w:type="table" w:styleId="GridTable2-Accent3">
    <w:name w:val="Grid Table 2 Accent 3"/>
    <w:basedOn w:val="TableNormal"/>
    <w:uiPriority w:val="47"/>
    <w:rsid w:val="00167B18"/>
    <w:pPr>
      <w:spacing w:after="0" w:line="240" w:lineRule="auto"/>
    </w:pPr>
    <w:tblPr>
      <w:tblStyleRowBandSize w:val="1"/>
      <w:tblStyleColBandSize w:val="1"/>
      <w:tblBorders>
        <w:top w:val="single" w:sz="2" w:space="0" w:color="C2D69B" w:themeColor="accent3" w:themeTint="99"/>
        <w:bottom w:val="single" w:sz="2" w:space="0" w:color="C2D69B" w:themeColor="accent3" w:themeTint="99"/>
        <w:insideH w:val="single" w:sz="2" w:space="0" w:color="C2D69B" w:themeColor="accent3" w:themeTint="99"/>
        <w:insideV w:val="single" w:sz="2" w:space="0" w:color="C2D69B" w:themeColor="accent3" w:themeTint="99"/>
      </w:tblBorders>
    </w:tblPr>
    <w:tblStylePr w:type="firstRow">
      <w:rPr>
        <w:b/>
        <w:bCs/>
      </w:rPr>
      <w:tblPr/>
      <w:tcPr>
        <w:tcBorders>
          <w:top w:val="nil"/>
          <w:bottom w:val="single" w:sz="12" w:space="0" w:color="C2D69B" w:themeColor="accent3" w:themeTint="99"/>
          <w:insideH w:val="nil"/>
          <w:insideV w:val="nil"/>
        </w:tcBorders>
        <w:shd w:val="clear" w:color="auto" w:fill="FFFFFF" w:themeFill="background1"/>
      </w:tcPr>
    </w:tblStylePr>
    <w:tblStylePr w:type="lastRow">
      <w:rPr>
        <w:b/>
        <w:bCs/>
      </w:rPr>
      <w:tblPr/>
      <w:tcPr>
        <w:tcBorders>
          <w:top w:val="double" w:sz="2" w:space="0" w:color="C2D69B" w:themeColor="accent3" w:themeTint="99"/>
          <w:bottom w:val="nil"/>
          <w:insideH w:val="nil"/>
          <w:insideV w:val="nil"/>
        </w:tcBorders>
        <w:shd w:val="clear" w:color="auto" w:fill="FFFFFF" w:themeFill="background1"/>
      </w:tcPr>
    </w:tblStylePr>
    <w:tblStylePr w:type="firstCol">
      <w:rPr>
        <w:b/>
        <w:bCs/>
      </w:rPr>
    </w:tblStylePr>
    <w:tblStylePr w:type="lastCol">
      <w:rPr>
        <w:b/>
        <w:bCs/>
      </w:rPr>
    </w:tblStylePr>
    <w:tblStylePr w:type="band1Vert">
      <w:tblPr/>
      <w:tcPr>
        <w:shd w:val="clear" w:color="auto" w:fill="EAF1DD" w:themeFill="accent3" w:themeFillTint="33"/>
      </w:tcPr>
    </w:tblStylePr>
    <w:tblStylePr w:type="band1Horz">
      <w:tblPr/>
      <w:tcPr>
        <w:shd w:val="clear" w:color="auto" w:fill="EAF1DD" w:themeFill="accent3" w:themeFillTint="33"/>
      </w:tcPr>
    </w:tblStylePr>
  </w:style>
  <w:style w:type="table" w:styleId="GridTable2-Accent4">
    <w:name w:val="Grid Table 2 Accent 4"/>
    <w:basedOn w:val="TableNormal"/>
    <w:uiPriority w:val="47"/>
    <w:rsid w:val="00167B18"/>
    <w:pPr>
      <w:spacing w:after="0" w:line="240" w:lineRule="auto"/>
    </w:pPr>
    <w:tblPr>
      <w:tblStyleRowBandSize w:val="1"/>
      <w:tblStyleColBandSize w:val="1"/>
      <w:tblBorders>
        <w:top w:val="single" w:sz="2" w:space="0" w:color="B2A1C7" w:themeColor="accent4" w:themeTint="99"/>
        <w:bottom w:val="single" w:sz="2" w:space="0" w:color="B2A1C7" w:themeColor="accent4" w:themeTint="99"/>
        <w:insideH w:val="single" w:sz="2" w:space="0" w:color="B2A1C7" w:themeColor="accent4" w:themeTint="99"/>
        <w:insideV w:val="single" w:sz="2" w:space="0" w:color="B2A1C7" w:themeColor="accent4" w:themeTint="99"/>
      </w:tblBorders>
    </w:tblPr>
    <w:tblStylePr w:type="firstRow">
      <w:rPr>
        <w:b/>
        <w:bCs/>
      </w:rPr>
      <w:tblPr/>
      <w:tcPr>
        <w:tcBorders>
          <w:top w:val="nil"/>
          <w:bottom w:val="single" w:sz="12" w:space="0" w:color="B2A1C7" w:themeColor="accent4" w:themeTint="99"/>
          <w:insideH w:val="nil"/>
          <w:insideV w:val="nil"/>
        </w:tcBorders>
        <w:shd w:val="clear" w:color="auto" w:fill="FFFFFF" w:themeFill="background1"/>
      </w:tcPr>
    </w:tblStylePr>
    <w:tblStylePr w:type="lastRow">
      <w:rPr>
        <w:b/>
        <w:bCs/>
      </w:rPr>
      <w:tblPr/>
      <w:tcPr>
        <w:tcBorders>
          <w:top w:val="double" w:sz="2" w:space="0" w:color="B2A1C7" w:themeColor="accent4" w:themeTint="99"/>
          <w:bottom w:val="nil"/>
          <w:insideH w:val="nil"/>
          <w:insideV w:val="nil"/>
        </w:tcBorders>
        <w:shd w:val="clear" w:color="auto" w:fill="FFFFFF" w:themeFill="background1"/>
      </w:tcPr>
    </w:tblStylePr>
    <w:tblStylePr w:type="firstCol">
      <w:rPr>
        <w:b/>
        <w:bCs/>
      </w:rPr>
    </w:tblStylePr>
    <w:tblStylePr w:type="lastCol">
      <w:rPr>
        <w:b/>
        <w:bCs/>
      </w:rPr>
    </w:tblStylePr>
    <w:tblStylePr w:type="band1Vert">
      <w:tblPr/>
      <w:tcPr>
        <w:shd w:val="clear" w:color="auto" w:fill="E5DFEC" w:themeFill="accent4" w:themeFillTint="33"/>
      </w:tcPr>
    </w:tblStylePr>
    <w:tblStylePr w:type="band1Horz">
      <w:tblPr/>
      <w:tcPr>
        <w:shd w:val="clear" w:color="auto" w:fill="E5DFEC" w:themeFill="accent4" w:themeFillTint="33"/>
      </w:tcPr>
    </w:tblStylePr>
  </w:style>
  <w:style w:type="table" w:styleId="GridTable2-Accent5">
    <w:name w:val="Grid Table 2 Accent 5"/>
    <w:basedOn w:val="TableNormal"/>
    <w:uiPriority w:val="47"/>
    <w:rsid w:val="00167B18"/>
    <w:pPr>
      <w:spacing w:after="0" w:line="240" w:lineRule="auto"/>
    </w:pPr>
    <w:tblPr>
      <w:tblStyleRowBandSize w:val="1"/>
      <w:tblStyleColBandSize w:val="1"/>
      <w:tblBorders>
        <w:top w:val="single" w:sz="2" w:space="0" w:color="92CDDC" w:themeColor="accent5" w:themeTint="99"/>
        <w:bottom w:val="single" w:sz="2" w:space="0" w:color="92CDDC" w:themeColor="accent5" w:themeTint="99"/>
        <w:insideH w:val="single" w:sz="2" w:space="0" w:color="92CDDC" w:themeColor="accent5" w:themeTint="99"/>
        <w:insideV w:val="single" w:sz="2" w:space="0" w:color="92CDDC" w:themeColor="accent5" w:themeTint="99"/>
      </w:tblBorders>
    </w:tblPr>
    <w:tblStylePr w:type="firstRow">
      <w:rPr>
        <w:b/>
        <w:bCs/>
      </w:rPr>
      <w:tblPr/>
      <w:tcPr>
        <w:tcBorders>
          <w:top w:val="nil"/>
          <w:bottom w:val="single" w:sz="12" w:space="0" w:color="92CDDC" w:themeColor="accent5" w:themeTint="99"/>
          <w:insideH w:val="nil"/>
          <w:insideV w:val="nil"/>
        </w:tcBorders>
        <w:shd w:val="clear" w:color="auto" w:fill="FFFFFF" w:themeFill="background1"/>
      </w:tcPr>
    </w:tblStylePr>
    <w:tblStylePr w:type="lastRow">
      <w:rPr>
        <w:b/>
        <w:bCs/>
      </w:rPr>
      <w:tblPr/>
      <w:tcPr>
        <w:tcBorders>
          <w:top w:val="double" w:sz="2" w:space="0" w:color="92CDDC" w:themeColor="accent5" w:themeTint="99"/>
          <w:bottom w:val="nil"/>
          <w:insideH w:val="nil"/>
          <w:insideV w:val="nil"/>
        </w:tcBorders>
        <w:shd w:val="clear" w:color="auto" w:fill="FFFFFF" w:themeFill="background1"/>
      </w:tcPr>
    </w:tblStylePr>
    <w:tblStylePr w:type="firstCol">
      <w:rPr>
        <w:b/>
        <w:bCs/>
      </w:rPr>
    </w:tblStylePr>
    <w:tblStylePr w:type="lastCol">
      <w:rPr>
        <w:b/>
        <w:bCs/>
      </w:rPr>
    </w:tblStylePr>
    <w:tblStylePr w:type="band1Vert">
      <w:tblPr/>
      <w:tcPr>
        <w:shd w:val="clear" w:color="auto" w:fill="DAEEF3" w:themeFill="accent5" w:themeFillTint="33"/>
      </w:tcPr>
    </w:tblStylePr>
    <w:tblStylePr w:type="band1Horz">
      <w:tblPr/>
      <w:tcPr>
        <w:shd w:val="clear" w:color="auto" w:fill="DAEEF3" w:themeFill="accent5" w:themeFillTint="33"/>
      </w:tcPr>
    </w:tblStylePr>
  </w:style>
  <w:style w:type="table" w:styleId="GridTable2-Accent6">
    <w:name w:val="Grid Table 2 Accent 6"/>
    <w:basedOn w:val="TableNormal"/>
    <w:uiPriority w:val="47"/>
    <w:rsid w:val="00167B18"/>
    <w:pPr>
      <w:spacing w:after="0" w:line="240" w:lineRule="auto"/>
    </w:pPr>
    <w:tblPr>
      <w:tblStyleRowBandSize w:val="1"/>
      <w:tblStyleColBandSize w:val="1"/>
      <w:tblBorders>
        <w:top w:val="single" w:sz="2" w:space="0" w:color="FABF8F" w:themeColor="accent6" w:themeTint="99"/>
        <w:bottom w:val="single" w:sz="2" w:space="0" w:color="FABF8F" w:themeColor="accent6" w:themeTint="99"/>
        <w:insideH w:val="single" w:sz="2" w:space="0" w:color="FABF8F" w:themeColor="accent6" w:themeTint="99"/>
        <w:insideV w:val="single" w:sz="2" w:space="0" w:color="FABF8F" w:themeColor="accent6" w:themeTint="99"/>
      </w:tblBorders>
    </w:tblPr>
    <w:tblStylePr w:type="firstRow">
      <w:rPr>
        <w:b/>
        <w:bCs/>
      </w:rPr>
      <w:tblPr/>
      <w:tcPr>
        <w:tcBorders>
          <w:top w:val="nil"/>
          <w:bottom w:val="single" w:sz="12" w:space="0" w:color="FABF8F" w:themeColor="accent6" w:themeTint="99"/>
          <w:insideH w:val="nil"/>
          <w:insideV w:val="nil"/>
        </w:tcBorders>
        <w:shd w:val="clear" w:color="auto" w:fill="FFFFFF" w:themeFill="background1"/>
      </w:tcPr>
    </w:tblStylePr>
    <w:tblStylePr w:type="lastRow">
      <w:rPr>
        <w:b/>
        <w:bCs/>
      </w:rPr>
      <w:tblPr/>
      <w:tcPr>
        <w:tcBorders>
          <w:top w:val="double" w:sz="2" w:space="0" w:color="FABF8F" w:themeColor="accent6" w:themeTint="99"/>
          <w:bottom w:val="nil"/>
          <w:insideH w:val="nil"/>
          <w:insideV w:val="nil"/>
        </w:tcBorders>
        <w:shd w:val="clear" w:color="auto" w:fill="FFFFFF" w:themeFill="background1"/>
      </w:tcPr>
    </w:tblStylePr>
    <w:tblStylePr w:type="firstCol">
      <w:rPr>
        <w:b/>
        <w:bCs/>
      </w:rPr>
    </w:tblStylePr>
    <w:tblStylePr w:type="lastCol">
      <w:rPr>
        <w:b/>
        <w:bCs/>
      </w:rPr>
    </w:tblStylePr>
    <w:tblStylePr w:type="band1Vert">
      <w:tblPr/>
      <w:tcPr>
        <w:shd w:val="clear" w:color="auto" w:fill="FDE9D9" w:themeFill="accent6" w:themeFillTint="33"/>
      </w:tcPr>
    </w:tblStylePr>
    <w:tblStylePr w:type="band1Horz">
      <w:tblPr/>
      <w:tcPr>
        <w:shd w:val="clear" w:color="auto" w:fill="FDE9D9" w:themeFill="accent6" w:themeFillTint="33"/>
      </w:tcPr>
    </w:tblStylePr>
  </w:style>
  <w:style w:type="table" w:styleId="GridTable3">
    <w:name w:val="Grid Table 3"/>
    <w:basedOn w:val="TableNormal"/>
    <w:uiPriority w:val="48"/>
    <w:rsid w:val="00167B18"/>
    <w:pPr>
      <w:spacing w:after="0" w:line="240" w:lineRule="auto"/>
    </w:pPr>
    <w:tblPr>
      <w:tblStyleRowBandSize w:val="1"/>
      <w:tblStyleColBandSize w:val="1"/>
      <w:tblBorders>
        <w:top w:val="single" w:sz="4" w:space="0" w:color="666666" w:themeColor="text1" w:themeTint="99"/>
        <w:left w:val="single" w:sz="4" w:space="0" w:color="666666" w:themeColor="text1" w:themeTint="99"/>
        <w:bottom w:val="single" w:sz="4" w:space="0" w:color="666666" w:themeColor="text1" w:themeTint="99"/>
        <w:right w:val="single" w:sz="4" w:space="0" w:color="666666" w:themeColor="text1" w:themeTint="99"/>
        <w:insideH w:val="single" w:sz="4" w:space="0" w:color="666666" w:themeColor="text1" w:themeTint="99"/>
        <w:insideV w:val="single" w:sz="4" w:space="0" w:color="666666" w:themeColor="text1" w:themeTint="99"/>
      </w:tblBorders>
    </w:tblPr>
    <w:tblStylePr w:type="firstRow">
      <w:rPr>
        <w:b/>
        <w:bCs/>
      </w:rPr>
      <w:tblPr/>
      <w:tcPr>
        <w:tcBorders>
          <w:top w:val="nil"/>
          <w:left w:val="nil"/>
          <w:right w:val="nil"/>
          <w:insideH w:val="nil"/>
          <w:insideV w:val="nil"/>
        </w:tcBorders>
        <w:shd w:val="clear" w:color="auto" w:fill="FFFFFF" w:themeFill="background1"/>
      </w:tcPr>
    </w:tblStylePr>
    <w:tblStylePr w:type="lastRow">
      <w:rPr>
        <w:b/>
        <w:bCs/>
      </w:rPr>
      <w:tblPr/>
      <w:tcPr>
        <w:tcBorders>
          <w:left w:val="nil"/>
          <w:bottom w:val="nil"/>
          <w:right w:val="nil"/>
          <w:insideH w:val="nil"/>
          <w:insideV w:val="nil"/>
        </w:tcBorders>
        <w:shd w:val="clear" w:color="auto" w:fill="FFFFFF" w:themeFill="background1"/>
      </w:tcPr>
    </w:tblStylePr>
    <w:tblStylePr w:type="firstCol">
      <w:pPr>
        <w:jc w:val="right"/>
      </w:pPr>
      <w:rPr>
        <w:i/>
        <w:iCs/>
      </w:rPr>
      <w:tblPr/>
      <w:tcPr>
        <w:tcBorders>
          <w:top w:val="nil"/>
          <w:left w:val="nil"/>
          <w:bottom w:val="nil"/>
          <w:insideH w:val="nil"/>
          <w:insideV w:val="nil"/>
        </w:tcBorders>
        <w:shd w:val="clear" w:color="auto" w:fill="FFFFFF" w:themeFill="background1"/>
      </w:tcPr>
    </w:tblStylePr>
    <w:tblStylePr w:type="lastCol">
      <w:rPr>
        <w:i/>
        <w:iCs/>
      </w:rPr>
      <w:tblPr/>
      <w:tcPr>
        <w:tcBorders>
          <w:top w:val="nil"/>
          <w:bottom w:val="nil"/>
          <w:right w:val="nil"/>
          <w:insideH w:val="nil"/>
          <w:insideV w:val="nil"/>
        </w:tcBorders>
        <w:shd w:val="clear" w:color="auto" w:fill="FFFFFF" w:themeFill="background1"/>
      </w:tcPr>
    </w:tblStylePr>
    <w:tblStylePr w:type="band1Vert">
      <w:tblPr/>
      <w:tcPr>
        <w:shd w:val="clear" w:color="auto" w:fill="CCCCCC" w:themeFill="text1" w:themeFillTint="33"/>
      </w:tcPr>
    </w:tblStylePr>
    <w:tblStylePr w:type="band1Horz">
      <w:tblPr/>
      <w:tcPr>
        <w:shd w:val="clear" w:color="auto" w:fill="CCCCCC" w:themeFill="text1" w:themeFillTint="33"/>
      </w:tcPr>
    </w:tblStylePr>
    <w:tblStylePr w:type="neCell">
      <w:tblPr/>
      <w:tcPr>
        <w:tcBorders>
          <w:bottom w:val="single" w:sz="4" w:space="0" w:color="666666" w:themeColor="text1" w:themeTint="99"/>
        </w:tcBorders>
      </w:tcPr>
    </w:tblStylePr>
    <w:tblStylePr w:type="nwCell">
      <w:tblPr/>
      <w:tcPr>
        <w:tcBorders>
          <w:bottom w:val="single" w:sz="4" w:space="0" w:color="666666" w:themeColor="text1" w:themeTint="99"/>
        </w:tcBorders>
      </w:tcPr>
    </w:tblStylePr>
    <w:tblStylePr w:type="seCell">
      <w:tblPr/>
      <w:tcPr>
        <w:tcBorders>
          <w:top w:val="single" w:sz="4" w:space="0" w:color="666666" w:themeColor="text1" w:themeTint="99"/>
        </w:tcBorders>
      </w:tcPr>
    </w:tblStylePr>
    <w:tblStylePr w:type="swCell">
      <w:tblPr/>
      <w:tcPr>
        <w:tcBorders>
          <w:top w:val="single" w:sz="4" w:space="0" w:color="666666" w:themeColor="text1" w:themeTint="99"/>
        </w:tcBorders>
      </w:tcPr>
    </w:tblStylePr>
  </w:style>
  <w:style w:type="table" w:styleId="GridTable3-Accent1">
    <w:name w:val="Grid Table 3 Accent 1"/>
    <w:basedOn w:val="TableNormal"/>
    <w:uiPriority w:val="48"/>
    <w:rsid w:val="00167B18"/>
    <w:pPr>
      <w:spacing w:after="0" w:line="240" w:lineRule="auto"/>
    </w:pPr>
    <w:tblPr>
      <w:tblStyleRowBandSize w:val="1"/>
      <w:tblStyleColBandSize w:val="1"/>
      <w:tblBorders>
        <w:top w:val="single" w:sz="4" w:space="0" w:color="95B3D7" w:themeColor="accent1" w:themeTint="99"/>
        <w:left w:val="single" w:sz="4" w:space="0" w:color="95B3D7" w:themeColor="accent1" w:themeTint="99"/>
        <w:bottom w:val="single" w:sz="4" w:space="0" w:color="95B3D7" w:themeColor="accent1" w:themeTint="99"/>
        <w:right w:val="single" w:sz="4" w:space="0" w:color="95B3D7" w:themeColor="accent1" w:themeTint="99"/>
        <w:insideH w:val="single" w:sz="4" w:space="0" w:color="95B3D7" w:themeColor="accent1" w:themeTint="99"/>
        <w:insideV w:val="single" w:sz="4" w:space="0" w:color="95B3D7" w:themeColor="accent1" w:themeTint="99"/>
      </w:tblBorders>
    </w:tblPr>
    <w:tblStylePr w:type="firstRow">
      <w:rPr>
        <w:b/>
        <w:bCs/>
      </w:rPr>
      <w:tblPr/>
      <w:tcPr>
        <w:tcBorders>
          <w:top w:val="nil"/>
          <w:left w:val="nil"/>
          <w:right w:val="nil"/>
          <w:insideH w:val="nil"/>
          <w:insideV w:val="nil"/>
        </w:tcBorders>
        <w:shd w:val="clear" w:color="auto" w:fill="FFFFFF" w:themeFill="background1"/>
      </w:tcPr>
    </w:tblStylePr>
    <w:tblStylePr w:type="lastRow">
      <w:rPr>
        <w:b/>
        <w:bCs/>
      </w:rPr>
      <w:tblPr/>
      <w:tcPr>
        <w:tcBorders>
          <w:left w:val="nil"/>
          <w:bottom w:val="nil"/>
          <w:right w:val="nil"/>
          <w:insideH w:val="nil"/>
          <w:insideV w:val="nil"/>
        </w:tcBorders>
        <w:shd w:val="clear" w:color="auto" w:fill="FFFFFF" w:themeFill="background1"/>
      </w:tcPr>
    </w:tblStylePr>
    <w:tblStylePr w:type="firstCol">
      <w:pPr>
        <w:jc w:val="right"/>
      </w:pPr>
      <w:rPr>
        <w:i/>
        <w:iCs/>
      </w:rPr>
      <w:tblPr/>
      <w:tcPr>
        <w:tcBorders>
          <w:top w:val="nil"/>
          <w:left w:val="nil"/>
          <w:bottom w:val="nil"/>
          <w:insideH w:val="nil"/>
          <w:insideV w:val="nil"/>
        </w:tcBorders>
        <w:shd w:val="clear" w:color="auto" w:fill="FFFFFF" w:themeFill="background1"/>
      </w:tcPr>
    </w:tblStylePr>
    <w:tblStylePr w:type="lastCol">
      <w:rPr>
        <w:i/>
        <w:iCs/>
      </w:rPr>
      <w:tblPr/>
      <w:tcPr>
        <w:tcBorders>
          <w:top w:val="nil"/>
          <w:bottom w:val="nil"/>
          <w:right w:val="nil"/>
          <w:insideH w:val="nil"/>
          <w:insideV w:val="nil"/>
        </w:tcBorders>
        <w:shd w:val="clear" w:color="auto" w:fill="FFFFFF" w:themeFill="background1"/>
      </w:tcPr>
    </w:tblStylePr>
    <w:tblStylePr w:type="band1Vert">
      <w:tblPr/>
      <w:tcPr>
        <w:shd w:val="clear" w:color="auto" w:fill="DBE5F1" w:themeFill="accent1" w:themeFillTint="33"/>
      </w:tcPr>
    </w:tblStylePr>
    <w:tblStylePr w:type="band1Horz">
      <w:tblPr/>
      <w:tcPr>
        <w:shd w:val="clear" w:color="auto" w:fill="DBE5F1" w:themeFill="accent1" w:themeFillTint="33"/>
      </w:tcPr>
    </w:tblStylePr>
    <w:tblStylePr w:type="neCell">
      <w:tblPr/>
      <w:tcPr>
        <w:tcBorders>
          <w:bottom w:val="single" w:sz="4" w:space="0" w:color="95B3D7" w:themeColor="accent1" w:themeTint="99"/>
        </w:tcBorders>
      </w:tcPr>
    </w:tblStylePr>
    <w:tblStylePr w:type="nwCell">
      <w:tblPr/>
      <w:tcPr>
        <w:tcBorders>
          <w:bottom w:val="single" w:sz="4" w:space="0" w:color="95B3D7" w:themeColor="accent1" w:themeTint="99"/>
        </w:tcBorders>
      </w:tcPr>
    </w:tblStylePr>
    <w:tblStylePr w:type="seCell">
      <w:tblPr/>
      <w:tcPr>
        <w:tcBorders>
          <w:top w:val="single" w:sz="4" w:space="0" w:color="95B3D7" w:themeColor="accent1" w:themeTint="99"/>
        </w:tcBorders>
      </w:tcPr>
    </w:tblStylePr>
    <w:tblStylePr w:type="swCell">
      <w:tblPr/>
      <w:tcPr>
        <w:tcBorders>
          <w:top w:val="single" w:sz="4" w:space="0" w:color="95B3D7" w:themeColor="accent1" w:themeTint="99"/>
        </w:tcBorders>
      </w:tcPr>
    </w:tblStylePr>
  </w:style>
  <w:style w:type="table" w:styleId="GridTable3-Accent2">
    <w:name w:val="Grid Table 3 Accent 2"/>
    <w:basedOn w:val="TableNormal"/>
    <w:uiPriority w:val="48"/>
    <w:rsid w:val="00167B18"/>
    <w:pPr>
      <w:spacing w:after="0" w:line="240" w:lineRule="auto"/>
    </w:pPr>
    <w:tblPr>
      <w:tblStyleRowBandSize w:val="1"/>
      <w:tblStyleColBandSize w:val="1"/>
      <w:tblBorders>
        <w:top w:val="single" w:sz="4" w:space="0" w:color="D99594" w:themeColor="accent2" w:themeTint="99"/>
        <w:left w:val="single" w:sz="4" w:space="0" w:color="D99594" w:themeColor="accent2" w:themeTint="99"/>
        <w:bottom w:val="single" w:sz="4" w:space="0" w:color="D99594" w:themeColor="accent2" w:themeTint="99"/>
        <w:right w:val="single" w:sz="4" w:space="0" w:color="D99594" w:themeColor="accent2" w:themeTint="99"/>
        <w:insideH w:val="single" w:sz="4" w:space="0" w:color="D99594" w:themeColor="accent2" w:themeTint="99"/>
        <w:insideV w:val="single" w:sz="4" w:space="0" w:color="D99594" w:themeColor="accent2" w:themeTint="99"/>
      </w:tblBorders>
    </w:tblPr>
    <w:tblStylePr w:type="firstRow">
      <w:rPr>
        <w:b/>
        <w:bCs/>
      </w:rPr>
      <w:tblPr/>
      <w:tcPr>
        <w:tcBorders>
          <w:top w:val="nil"/>
          <w:left w:val="nil"/>
          <w:right w:val="nil"/>
          <w:insideH w:val="nil"/>
          <w:insideV w:val="nil"/>
        </w:tcBorders>
        <w:shd w:val="clear" w:color="auto" w:fill="FFFFFF" w:themeFill="background1"/>
      </w:tcPr>
    </w:tblStylePr>
    <w:tblStylePr w:type="lastRow">
      <w:rPr>
        <w:b/>
        <w:bCs/>
      </w:rPr>
      <w:tblPr/>
      <w:tcPr>
        <w:tcBorders>
          <w:left w:val="nil"/>
          <w:bottom w:val="nil"/>
          <w:right w:val="nil"/>
          <w:insideH w:val="nil"/>
          <w:insideV w:val="nil"/>
        </w:tcBorders>
        <w:shd w:val="clear" w:color="auto" w:fill="FFFFFF" w:themeFill="background1"/>
      </w:tcPr>
    </w:tblStylePr>
    <w:tblStylePr w:type="firstCol">
      <w:pPr>
        <w:jc w:val="right"/>
      </w:pPr>
      <w:rPr>
        <w:i/>
        <w:iCs/>
      </w:rPr>
      <w:tblPr/>
      <w:tcPr>
        <w:tcBorders>
          <w:top w:val="nil"/>
          <w:left w:val="nil"/>
          <w:bottom w:val="nil"/>
          <w:insideH w:val="nil"/>
          <w:insideV w:val="nil"/>
        </w:tcBorders>
        <w:shd w:val="clear" w:color="auto" w:fill="FFFFFF" w:themeFill="background1"/>
      </w:tcPr>
    </w:tblStylePr>
    <w:tblStylePr w:type="lastCol">
      <w:rPr>
        <w:i/>
        <w:iCs/>
      </w:rPr>
      <w:tblPr/>
      <w:tcPr>
        <w:tcBorders>
          <w:top w:val="nil"/>
          <w:bottom w:val="nil"/>
          <w:right w:val="nil"/>
          <w:insideH w:val="nil"/>
          <w:insideV w:val="nil"/>
        </w:tcBorders>
        <w:shd w:val="clear" w:color="auto" w:fill="FFFFFF" w:themeFill="background1"/>
      </w:tcPr>
    </w:tblStylePr>
    <w:tblStylePr w:type="band1Vert">
      <w:tblPr/>
      <w:tcPr>
        <w:shd w:val="clear" w:color="auto" w:fill="F2DBDB" w:themeFill="accent2" w:themeFillTint="33"/>
      </w:tcPr>
    </w:tblStylePr>
    <w:tblStylePr w:type="band1Horz">
      <w:tblPr/>
      <w:tcPr>
        <w:shd w:val="clear" w:color="auto" w:fill="F2DBDB" w:themeFill="accent2" w:themeFillTint="33"/>
      </w:tcPr>
    </w:tblStylePr>
    <w:tblStylePr w:type="neCell">
      <w:tblPr/>
      <w:tcPr>
        <w:tcBorders>
          <w:bottom w:val="single" w:sz="4" w:space="0" w:color="D99594" w:themeColor="accent2" w:themeTint="99"/>
        </w:tcBorders>
      </w:tcPr>
    </w:tblStylePr>
    <w:tblStylePr w:type="nwCell">
      <w:tblPr/>
      <w:tcPr>
        <w:tcBorders>
          <w:bottom w:val="single" w:sz="4" w:space="0" w:color="D99594" w:themeColor="accent2" w:themeTint="99"/>
        </w:tcBorders>
      </w:tcPr>
    </w:tblStylePr>
    <w:tblStylePr w:type="seCell">
      <w:tblPr/>
      <w:tcPr>
        <w:tcBorders>
          <w:top w:val="single" w:sz="4" w:space="0" w:color="D99594" w:themeColor="accent2" w:themeTint="99"/>
        </w:tcBorders>
      </w:tcPr>
    </w:tblStylePr>
    <w:tblStylePr w:type="swCell">
      <w:tblPr/>
      <w:tcPr>
        <w:tcBorders>
          <w:top w:val="single" w:sz="4" w:space="0" w:color="D99594" w:themeColor="accent2" w:themeTint="99"/>
        </w:tcBorders>
      </w:tcPr>
    </w:tblStylePr>
  </w:style>
  <w:style w:type="table" w:styleId="GridTable3-Accent3">
    <w:name w:val="Grid Table 3 Accent 3"/>
    <w:basedOn w:val="TableNormal"/>
    <w:uiPriority w:val="48"/>
    <w:rsid w:val="00167B18"/>
    <w:pPr>
      <w:spacing w:after="0" w:line="240" w:lineRule="auto"/>
    </w:pPr>
    <w:tblPr>
      <w:tblStyleRowBandSize w:val="1"/>
      <w:tblStyleColBandSize w:val="1"/>
      <w:tblBorders>
        <w:top w:val="single" w:sz="4" w:space="0" w:color="C2D69B" w:themeColor="accent3" w:themeTint="99"/>
        <w:left w:val="single" w:sz="4" w:space="0" w:color="C2D69B" w:themeColor="accent3" w:themeTint="99"/>
        <w:bottom w:val="single" w:sz="4" w:space="0" w:color="C2D69B" w:themeColor="accent3" w:themeTint="99"/>
        <w:right w:val="single" w:sz="4" w:space="0" w:color="C2D69B" w:themeColor="accent3" w:themeTint="99"/>
        <w:insideH w:val="single" w:sz="4" w:space="0" w:color="C2D69B" w:themeColor="accent3" w:themeTint="99"/>
        <w:insideV w:val="single" w:sz="4" w:space="0" w:color="C2D69B" w:themeColor="accent3" w:themeTint="99"/>
      </w:tblBorders>
    </w:tblPr>
    <w:tblStylePr w:type="firstRow">
      <w:rPr>
        <w:b/>
        <w:bCs/>
      </w:rPr>
      <w:tblPr/>
      <w:tcPr>
        <w:tcBorders>
          <w:top w:val="nil"/>
          <w:left w:val="nil"/>
          <w:right w:val="nil"/>
          <w:insideH w:val="nil"/>
          <w:insideV w:val="nil"/>
        </w:tcBorders>
        <w:shd w:val="clear" w:color="auto" w:fill="FFFFFF" w:themeFill="background1"/>
      </w:tcPr>
    </w:tblStylePr>
    <w:tblStylePr w:type="lastRow">
      <w:rPr>
        <w:b/>
        <w:bCs/>
      </w:rPr>
      <w:tblPr/>
      <w:tcPr>
        <w:tcBorders>
          <w:left w:val="nil"/>
          <w:bottom w:val="nil"/>
          <w:right w:val="nil"/>
          <w:insideH w:val="nil"/>
          <w:insideV w:val="nil"/>
        </w:tcBorders>
        <w:shd w:val="clear" w:color="auto" w:fill="FFFFFF" w:themeFill="background1"/>
      </w:tcPr>
    </w:tblStylePr>
    <w:tblStylePr w:type="firstCol">
      <w:pPr>
        <w:jc w:val="right"/>
      </w:pPr>
      <w:rPr>
        <w:i/>
        <w:iCs/>
      </w:rPr>
      <w:tblPr/>
      <w:tcPr>
        <w:tcBorders>
          <w:top w:val="nil"/>
          <w:left w:val="nil"/>
          <w:bottom w:val="nil"/>
          <w:insideH w:val="nil"/>
          <w:insideV w:val="nil"/>
        </w:tcBorders>
        <w:shd w:val="clear" w:color="auto" w:fill="FFFFFF" w:themeFill="background1"/>
      </w:tcPr>
    </w:tblStylePr>
    <w:tblStylePr w:type="lastCol">
      <w:rPr>
        <w:i/>
        <w:iCs/>
      </w:rPr>
      <w:tblPr/>
      <w:tcPr>
        <w:tcBorders>
          <w:top w:val="nil"/>
          <w:bottom w:val="nil"/>
          <w:right w:val="nil"/>
          <w:insideH w:val="nil"/>
          <w:insideV w:val="nil"/>
        </w:tcBorders>
        <w:shd w:val="clear" w:color="auto" w:fill="FFFFFF" w:themeFill="background1"/>
      </w:tcPr>
    </w:tblStylePr>
    <w:tblStylePr w:type="band1Vert">
      <w:tblPr/>
      <w:tcPr>
        <w:shd w:val="clear" w:color="auto" w:fill="EAF1DD" w:themeFill="accent3" w:themeFillTint="33"/>
      </w:tcPr>
    </w:tblStylePr>
    <w:tblStylePr w:type="band1Horz">
      <w:tblPr/>
      <w:tcPr>
        <w:shd w:val="clear" w:color="auto" w:fill="EAF1DD" w:themeFill="accent3" w:themeFillTint="33"/>
      </w:tcPr>
    </w:tblStylePr>
    <w:tblStylePr w:type="neCell">
      <w:tblPr/>
      <w:tcPr>
        <w:tcBorders>
          <w:bottom w:val="single" w:sz="4" w:space="0" w:color="C2D69B" w:themeColor="accent3" w:themeTint="99"/>
        </w:tcBorders>
      </w:tcPr>
    </w:tblStylePr>
    <w:tblStylePr w:type="nwCell">
      <w:tblPr/>
      <w:tcPr>
        <w:tcBorders>
          <w:bottom w:val="single" w:sz="4" w:space="0" w:color="C2D69B" w:themeColor="accent3" w:themeTint="99"/>
        </w:tcBorders>
      </w:tcPr>
    </w:tblStylePr>
    <w:tblStylePr w:type="seCell">
      <w:tblPr/>
      <w:tcPr>
        <w:tcBorders>
          <w:top w:val="single" w:sz="4" w:space="0" w:color="C2D69B" w:themeColor="accent3" w:themeTint="99"/>
        </w:tcBorders>
      </w:tcPr>
    </w:tblStylePr>
    <w:tblStylePr w:type="swCell">
      <w:tblPr/>
      <w:tcPr>
        <w:tcBorders>
          <w:top w:val="single" w:sz="4" w:space="0" w:color="C2D69B" w:themeColor="accent3" w:themeTint="99"/>
        </w:tcBorders>
      </w:tcPr>
    </w:tblStylePr>
  </w:style>
  <w:style w:type="table" w:styleId="GridTable3-Accent4">
    <w:name w:val="Grid Table 3 Accent 4"/>
    <w:basedOn w:val="TableNormal"/>
    <w:uiPriority w:val="48"/>
    <w:rsid w:val="00167B18"/>
    <w:pPr>
      <w:spacing w:after="0" w:line="240" w:lineRule="auto"/>
    </w:pPr>
    <w:tblPr>
      <w:tblStyleRowBandSize w:val="1"/>
      <w:tblStyleColBandSize w:val="1"/>
      <w:tblBorders>
        <w:top w:val="single" w:sz="4" w:space="0" w:color="B2A1C7" w:themeColor="accent4" w:themeTint="99"/>
        <w:left w:val="single" w:sz="4" w:space="0" w:color="B2A1C7" w:themeColor="accent4" w:themeTint="99"/>
        <w:bottom w:val="single" w:sz="4" w:space="0" w:color="B2A1C7" w:themeColor="accent4" w:themeTint="99"/>
        <w:right w:val="single" w:sz="4" w:space="0" w:color="B2A1C7" w:themeColor="accent4" w:themeTint="99"/>
        <w:insideH w:val="single" w:sz="4" w:space="0" w:color="B2A1C7" w:themeColor="accent4" w:themeTint="99"/>
        <w:insideV w:val="single" w:sz="4" w:space="0" w:color="B2A1C7" w:themeColor="accent4" w:themeTint="99"/>
      </w:tblBorders>
    </w:tblPr>
    <w:tblStylePr w:type="firstRow">
      <w:rPr>
        <w:b/>
        <w:bCs/>
      </w:rPr>
      <w:tblPr/>
      <w:tcPr>
        <w:tcBorders>
          <w:top w:val="nil"/>
          <w:left w:val="nil"/>
          <w:right w:val="nil"/>
          <w:insideH w:val="nil"/>
          <w:insideV w:val="nil"/>
        </w:tcBorders>
        <w:shd w:val="clear" w:color="auto" w:fill="FFFFFF" w:themeFill="background1"/>
      </w:tcPr>
    </w:tblStylePr>
    <w:tblStylePr w:type="lastRow">
      <w:rPr>
        <w:b/>
        <w:bCs/>
      </w:rPr>
      <w:tblPr/>
      <w:tcPr>
        <w:tcBorders>
          <w:left w:val="nil"/>
          <w:bottom w:val="nil"/>
          <w:right w:val="nil"/>
          <w:insideH w:val="nil"/>
          <w:insideV w:val="nil"/>
        </w:tcBorders>
        <w:shd w:val="clear" w:color="auto" w:fill="FFFFFF" w:themeFill="background1"/>
      </w:tcPr>
    </w:tblStylePr>
    <w:tblStylePr w:type="firstCol">
      <w:pPr>
        <w:jc w:val="right"/>
      </w:pPr>
      <w:rPr>
        <w:i/>
        <w:iCs/>
      </w:rPr>
      <w:tblPr/>
      <w:tcPr>
        <w:tcBorders>
          <w:top w:val="nil"/>
          <w:left w:val="nil"/>
          <w:bottom w:val="nil"/>
          <w:insideH w:val="nil"/>
          <w:insideV w:val="nil"/>
        </w:tcBorders>
        <w:shd w:val="clear" w:color="auto" w:fill="FFFFFF" w:themeFill="background1"/>
      </w:tcPr>
    </w:tblStylePr>
    <w:tblStylePr w:type="lastCol">
      <w:rPr>
        <w:i/>
        <w:iCs/>
      </w:rPr>
      <w:tblPr/>
      <w:tcPr>
        <w:tcBorders>
          <w:top w:val="nil"/>
          <w:bottom w:val="nil"/>
          <w:right w:val="nil"/>
          <w:insideH w:val="nil"/>
          <w:insideV w:val="nil"/>
        </w:tcBorders>
        <w:shd w:val="clear" w:color="auto" w:fill="FFFFFF" w:themeFill="background1"/>
      </w:tcPr>
    </w:tblStylePr>
    <w:tblStylePr w:type="band1Vert">
      <w:tblPr/>
      <w:tcPr>
        <w:shd w:val="clear" w:color="auto" w:fill="E5DFEC" w:themeFill="accent4" w:themeFillTint="33"/>
      </w:tcPr>
    </w:tblStylePr>
    <w:tblStylePr w:type="band1Horz">
      <w:tblPr/>
      <w:tcPr>
        <w:shd w:val="clear" w:color="auto" w:fill="E5DFEC" w:themeFill="accent4" w:themeFillTint="33"/>
      </w:tcPr>
    </w:tblStylePr>
    <w:tblStylePr w:type="neCell">
      <w:tblPr/>
      <w:tcPr>
        <w:tcBorders>
          <w:bottom w:val="single" w:sz="4" w:space="0" w:color="B2A1C7" w:themeColor="accent4" w:themeTint="99"/>
        </w:tcBorders>
      </w:tcPr>
    </w:tblStylePr>
    <w:tblStylePr w:type="nwCell">
      <w:tblPr/>
      <w:tcPr>
        <w:tcBorders>
          <w:bottom w:val="single" w:sz="4" w:space="0" w:color="B2A1C7" w:themeColor="accent4" w:themeTint="99"/>
        </w:tcBorders>
      </w:tcPr>
    </w:tblStylePr>
    <w:tblStylePr w:type="seCell">
      <w:tblPr/>
      <w:tcPr>
        <w:tcBorders>
          <w:top w:val="single" w:sz="4" w:space="0" w:color="B2A1C7" w:themeColor="accent4" w:themeTint="99"/>
        </w:tcBorders>
      </w:tcPr>
    </w:tblStylePr>
    <w:tblStylePr w:type="swCell">
      <w:tblPr/>
      <w:tcPr>
        <w:tcBorders>
          <w:top w:val="single" w:sz="4" w:space="0" w:color="B2A1C7" w:themeColor="accent4" w:themeTint="99"/>
        </w:tcBorders>
      </w:tcPr>
    </w:tblStylePr>
  </w:style>
  <w:style w:type="table" w:styleId="GridTable3-Accent5">
    <w:name w:val="Grid Table 3 Accent 5"/>
    <w:basedOn w:val="TableNormal"/>
    <w:uiPriority w:val="48"/>
    <w:rsid w:val="00167B18"/>
    <w:pPr>
      <w:spacing w:after="0" w:line="240" w:lineRule="auto"/>
    </w:pPr>
    <w:tblPr>
      <w:tblStyleRowBandSize w:val="1"/>
      <w:tblStyleColBandSize w:val="1"/>
      <w:tblBorders>
        <w:top w:val="single" w:sz="4" w:space="0" w:color="92CDDC" w:themeColor="accent5" w:themeTint="99"/>
        <w:left w:val="single" w:sz="4" w:space="0" w:color="92CDDC" w:themeColor="accent5" w:themeTint="99"/>
        <w:bottom w:val="single" w:sz="4" w:space="0" w:color="92CDDC" w:themeColor="accent5" w:themeTint="99"/>
        <w:right w:val="single" w:sz="4" w:space="0" w:color="92CDDC" w:themeColor="accent5" w:themeTint="99"/>
        <w:insideH w:val="single" w:sz="4" w:space="0" w:color="92CDDC" w:themeColor="accent5" w:themeTint="99"/>
        <w:insideV w:val="single" w:sz="4" w:space="0" w:color="92CDDC" w:themeColor="accent5" w:themeTint="99"/>
      </w:tblBorders>
    </w:tblPr>
    <w:tblStylePr w:type="firstRow">
      <w:rPr>
        <w:b/>
        <w:bCs/>
      </w:rPr>
      <w:tblPr/>
      <w:tcPr>
        <w:tcBorders>
          <w:top w:val="nil"/>
          <w:left w:val="nil"/>
          <w:right w:val="nil"/>
          <w:insideH w:val="nil"/>
          <w:insideV w:val="nil"/>
        </w:tcBorders>
        <w:shd w:val="clear" w:color="auto" w:fill="FFFFFF" w:themeFill="background1"/>
      </w:tcPr>
    </w:tblStylePr>
    <w:tblStylePr w:type="lastRow">
      <w:rPr>
        <w:b/>
        <w:bCs/>
      </w:rPr>
      <w:tblPr/>
      <w:tcPr>
        <w:tcBorders>
          <w:left w:val="nil"/>
          <w:bottom w:val="nil"/>
          <w:right w:val="nil"/>
          <w:insideH w:val="nil"/>
          <w:insideV w:val="nil"/>
        </w:tcBorders>
        <w:shd w:val="clear" w:color="auto" w:fill="FFFFFF" w:themeFill="background1"/>
      </w:tcPr>
    </w:tblStylePr>
    <w:tblStylePr w:type="firstCol">
      <w:pPr>
        <w:jc w:val="right"/>
      </w:pPr>
      <w:rPr>
        <w:i/>
        <w:iCs/>
      </w:rPr>
      <w:tblPr/>
      <w:tcPr>
        <w:tcBorders>
          <w:top w:val="nil"/>
          <w:left w:val="nil"/>
          <w:bottom w:val="nil"/>
          <w:insideH w:val="nil"/>
          <w:insideV w:val="nil"/>
        </w:tcBorders>
        <w:shd w:val="clear" w:color="auto" w:fill="FFFFFF" w:themeFill="background1"/>
      </w:tcPr>
    </w:tblStylePr>
    <w:tblStylePr w:type="lastCol">
      <w:rPr>
        <w:i/>
        <w:iCs/>
      </w:rPr>
      <w:tblPr/>
      <w:tcPr>
        <w:tcBorders>
          <w:top w:val="nil"/>
          <w:bottom w:val="nil"/>
          <w:right w:val="nil"/>
          <w:insideH w:val="nil"/>
          <w:insideV w:val="nil"/>
        </w:tcBorders>
        <w:shd w:val="clear" w:color="auto" w:fill="FFFFFF" w:themeFill="background1"/>
      </w:tcPr>
    </w:tblStylePr>
    <w:tblStylePr w:type="band1Vert">
      <w:tblPr/>
      <w:tcPr>
        <w:shd w:val="clear" w:color="auto" w:fill="DAEEF3" w:themeFill="accent5" w:themeFillTint="33"/>
      </w:tcPr>
    </w:tblStylePr>
    <w:tblStylePr w:type="band1Horz">
      <w:tblPr/>
      <w:tcPr>
        <w:shd w:val="clear" w:color="auto" w:fill="DAEEF3" w:themeFill="accent5" w:themeFillTint="33"/>
      </w:tcPr>
    </w:tblStylePr>
    <w:tblStylePr w:type="neCell">
      <w:tblPr/>
      <w:tcPr>
        <w:tcBorders>
          <w:bottom w:val="single" w:sz="4" w:space="0" w:color="92CDDC" w:themeColor="accent5" w:themeTint="99"/>
        </w:tcBorders>
      </w:tcPr>
    </w:tblStylePr>
    <w:tblStylePr w:type="nwCell">
      <w:tblPr/>
      <w:tcPr>
        <w:tcBorders>
          <w:bottom w:val="single" w:sz="4" w:space="0" w:color="92CDDC" w:themeColor="accent5" w:themeTint="99"/>
        </w:tcBorders>
      </w:tcPr>
    </w:tblStylePr>
    <w:tblStylePr w:type="seCell">
      <w:tblPr/>
      <w:tcPr>
        <w:tcBorders>
          <w:top w:val="single" w:sz="4" w:space="0" w:color="92CDDC" w:themeColor="accent5" w:themeTint="99"/>
        </w:tcBorders>
      </w:tcPr>
    </w:tblStylePr>
    <w:tblStylePr w:type="swCell">
      <w:tblPr/>
      <w:tcPr>
        <w:tcBorders>
          <w:top w:val="single" w:sz="4" w:space="0" w:color="92CDDC" w:themeColor="accent5" w:themeTint="99"/>
        </w:tcBorders>
      </w:tcPr>
    </w:tblStylePr>
  </w:style>
  <w:style w:type="table" w:styleId="GridTable3-Accent6">
    <w:name w:val="Grid Table 3 Accent 6"/>
    <w:basedOn w:val="TableNormal"/>
    <w:uiPriority w:val="48"/>
    <w:rsid w:val="00167B18"/>
    <w:pPr>
      <w:spacing w:after="0" w:line="240" w:lineRule="auto"/>
    </w:pPr>
    <w:tblPr>
      <w:tblStyleRowBandSize w:val="1"/>
      <w:tblStyleColBandSize w:val="1"/>
      <w:tblBorders>
        <w:top w:val="single" w:sz="4" w:space="0" w:color="FABF8F" w:themeColor="accent6" w:themeTint="99"/>
        <w:left w:val="single" w:sz="4" w:space="0" w:color="FABF8F" w:themeColor="accent6" w:themeTint="99"/>
        <w:bottom w:val="single" w:sz="4" w:space="0" w:color="FABF8F" w:themeColor="accent6" w:themeTint="99"/>
        <w:right w:val="single" w:sz="4" w:space="0" w:color="FABF8F" w:themeColor="accent6" w:themeTint="99"/>
        <w:insideH w:val="single" w:sz="4" w:space="0" w:color="FABF8F" w:themeColor="accent6" w:themeTint="99"/>
        <w:insideV w:val="single" w:sz="4" w:space="0" w:color="FABF8F" w:themeColor="accent6" w:themeTint="99"/>
      </w:tblBorders>
    </w:tblPr>
    <w:tblStylePr w:type="firstRow">
      <w:rPr>
        <w:b/>
        <w:bCs/>
      </w:rPr>
      <w:tblPr/>
      <w:tcPr>
        <w:tcBorders>
          <w:top w:val="nil"/>
          <w:left w:val="nil"/>
          <w:right w:val="nil"/>
          <w:insideH w:val="nil"/>
          <w:insideV w:val="nil"/>
        </w:tcBorders>
        <w:shd w:val="clear" w:color="auto" w:fill="FFFFFF" w:themeFill="background1"/>
      </w:tcPr>
    </w:tblStylePr>
    <w:tblStylePr w:type="lastRow">
      <w:rPr>
        <w:b/>
        <w:bCs/>
      </w:rPr>
      <w:tblPr/>
      <w:tcPr>
        <w:tcBorders>
          <w:left w:val="nil"/>
          <w:bottom w:val="nil"/>
          <w:right w:val="nil"/>
          <w:insideH w:val="nil"/>
          <w:insideV w:val="nil"/>
        </w:tcBorders>
        <w:shd w:val="clear" w:color="auto" w:fill="FFFFFF" w:themeFill="background1"/>
      </w:tcPr>
    </w:tblStylePr>
    <w:tblStylePr w:type="firstCol">
      <w:pPr>
        <w:jc w:val="right"/>
      </w:pPr>
      <w:rPr>
        <w:i/>
        <w:iCs/>
      </w:rPr>
      <w:tblPr/>
      <w:tcPr>
        <w:tcBorders>
          <w:top w:val="nil"/>
          <w:left w:val="nil"/>
          <w:bottom w:val="nil"/>
          <w:insideH w:val="nil"/>
          <w:insideV w:val="nil"/>
        </w:tcBorders>
        <w:shd w:val="clear" w:color="auto" w:fill="FFFFFF" w:themeFill="background1"/>
      </w:tcPr>
    </w:tblStylePr>
    <w:tblStylePr w:type="lastCol">
      <w:rPr>
        <w:i/>
        <w:iCs/>
      </w:rPr>
      <w:tblPr/>
      <w:tcPr>
        <w:tcBorders>
          <w:top w:val="nil"/>
          <w:bottom w:val="nil"/>
          <w:right w:val="nil"/>
          <w:insideH w:val="nil"/>
          <w:insideV w:val="nil"/>
        </w:tcBorders>
        <w:shd w:val="clear" w:color="auto" w:fill="FFFFFF" w:themeFill="background1"/>
      </w:tcPr>
    </w:tblStylePr>
    <w:tblStylePr w:type="band1Vert">
      <w:tblPr/>
      <w:tcPr>
        <w:shd w:val="clear" w:color="auto" w:fill="FDE9D9" w:themeFill="accent6" w:themeFillTint="33"/>
      </w:tcPr>
    </w:tblStylePr>
    <w:tblStylePr w:type="band1Horz">
      <w:tblPr/>
      <w:tcPr>
        <w:shd w:val="clear" w:color="auto" w:fill="FDE9D9" w:themeFill="accent6" w:themeFillTint="33"/>
      </w:tcPr>
    </w:tblStylePr>
    <w:tblStylePr w:type="neCell">
      <w:tblPr/>
      <w:tcPr>
        <w:tcBorders>
          <w:bottom w:val="single" w:sz="4" w:space="0" w:color="FABF8F" w:themeColor="accent6" w:themeTint="99"/>
        </w:tcBorders>
      </w:tcPr>
    </w:tblStylePr>
    <w:tblStylePr w:type="nwCell">
      <w:tblPr/>
      <w:tcPr>
        <w:tcBorders>
          <w:bottom w:val="single" w:sz="4" w:space="0" w:color="FABF8F" w:themeColor="accent6" w:themeTint="99"/>
        </w:tcBorders>
      </w:tcPr>
    </w:tblStylePr>
    <w:tblStylePr w:type="seCell">
      <w:tblPr/>
      <w:tcPr>
        <w:tcBorders>
          <w:top w:val="single" w:sz="4" w:space="0" w:color="FABF8F" w:themeColor="accent6" w:themeTint="99"/>
        </w:tcBorders>
      </w:tcPr>
    </w:tblStylePr>
    <w:tblStylePr w:type="swCell">
      <w:tblPr/>
      <w:tcPr>
        <w:tcBorders>
          <w:top w:val="single" w:sz="4" w:space="0" w:color="FABF8F" w:themeColor="accent6" w:themeTint="99"/>
        </w:tcBorders>
      </w:tcPr>
    </w:tblStylePr>
  </w:style>
  <w:style w:type="table" w:styleId="GridTable4">
    <w:name w:val="Grid Table 4"/>
    <w:basedOn w:val="TableNormal"/>
    <w:uiPriority w:val="49"/>
    <w:rsid w:val="00167B18"/>
    <w:pPr>
      <w:spacing w:after="0" w:line="240" w:lineRule="auto"/>
    </w:pPr>
    <w:tblPr>
      <w:tblStyleRowBandSize w:val="1"/>
      <w:tblStyleColBandSize w:val="1"/>
      <w:tblBorders>
        <w:top w:val="single" w:sz="4" w:space="0" w:color="666666" w:themeColor="text1" w:themeTint="99"/>
        <w:left w:val="single" w:sz="4" w:space="0" w:color="666666" w:themeColor="text1" w:themeTint="99"/>
        <w:bottom w:val="single" w:sz="4" w:space="0" w:color="666666" w:themeColor="text1" w:themeTint="99"/>
        <w:right w:val="single" w:sz="4" w:space="0" w:color="666666" w:themeColor="text1" w:themeTint="99"/>
        <w:insideH w:val="single" w:sz="4" w:space="0" w:color="666666" w:themeColor="text1" w:themeTint="99"/>
        <w:insideV w:val="single" w:sz="4" w:space="0" w:color="666666" w:themeColor="text1" w:themeTint="99"/>
      </w:tblBorders>
    </w:tblPr>
    <w:tblStylePr w:type="firstRow">
      <w:rPr>
        <w:b/>
        <w:bCs/>
        <w:color w:val="FFFFFF" w:themeColor="background1"/>
      </w:rPr>
      <w:tblPr/>
      <w:tcPr>
        <w:tcBorders>
          <w:top w:val="single" w:sz="4" w:space="0" w:color="000000" w:themeColor="text1"/>
          <w:left w:val="single" w:sz="4" w:space="0" w:color="000000" w:themeColor="text1"/>
          <w:bottom w:val="single" w:sz="4" w:space="0" w:color="000000" w:themeColor="text1"/>
          <w:right w:val="single" w:sz="4" w:space="0" w:color="000000" w:themeColor="text1"/>
          <w:insideH w:val="nil"/>
          <w:insideV w:val="nil"/>
        </w:tcBorders>
        <w:shd w:val="clear" w:color="auto" w:fill="000000" w:themeFill="text1"/>
      </w:tcPr>
    </w:tblStylePr>
    <w:tblStylePr w:type="lastRow">
      <w:rPr>
        <w:b/>
        <w:bCs/>
      </w:rPr>
      <w:tblPr/>
      <w:tcPr>
        <w:tcBorders>
          <w:top w:val="double" w:sz="4" w:space="0" w:color="000000" w:themeColor="text1"/>
        </w:tcBorders>
      </w:tcPr>
    </w:tblStylePr>
    <w:tblStylePr w:type="firstCol">
      <w:rPr>
        <w:b/>
        <w:bCs/>
      </w:rPr>
    </w:tblStylePr>
    <w:tblStylePr w:type="lastCol">
      <w:rPr>
        <w:b/>
        <w:bCs/>
      </w:rPr>
    </w:tblStylePr>
    <w:tblStylePr w:type="band1Vert">
      <w:tblPr/>
      <w:tcPr>
        <w:shd w:val="clear" w:color="auto" w:fill="CCCCCC" w:themeFill="text1" w:themeFillTint="33"/>
      </w:tcPr>
    </w:tblStylePr>
    <w:tblStylePr w:type="band1Horz">
      <w:tblPr/>
      <w:tcPr>
        <w:shd w:val="clear" w:color="auto" w:fill="CCCCCC" w:themeFill="text1" w:themeFillTint="33"/>
      </w:tcPr>
    </w:tblStylePr>
  </w:style>
  <w:style w:type="table" w:styleId="GridTable4-Accent1">
    <w:name w:val="Grid Table 4 Accent 1"/>
    <w:basedOn w:val="TableNormal"/>
    <w:uiPriority w:val="49"/>
    <w:rsid w:val="00167B18"/>
    <w:pPr>
      <w:spacing w:after="0" w:line="240" w:lineRule="auto"/>
    </w:pPr>
    <w:tblPr>
      <w:tblStyleRowBandSize w:val="1"/>
      <w:tblStyleColBandSize w:val="1"/>
      <w:tblBorders>
        <w:top w:val="single" w:sz="4" w:space="0" w:color="95B3D7" w:themeColor="accent1" w:themeTint="99"/>
        <w:left w:val="single" w:sz="4" w:space="0" w:color="95B3D7" w:themeColor="accent1" w:themeTint="99"/>
        <w:bottom w:val="single" w:sz="4" w:space="0" w:color="95B3D7" w:themeColor="accent1" w:themeTint="99"/>
        <w:right w:val="single" w:sz="4" w:space="0" w:color="95B3D7" w:themeColor="accent1" w:themeTint="99"/>
        <w:insideH w:val="single" w:sz="4" w:space="0" w:color="95B3D7" w:themeColor="accent1" w:themeTint="99"/>
        <w:insideV w:val="single" w:sz="4" w:space="0" w:color="95B3D7" w:themeColor="accent1" w:themeTint="99"/>
      </w:tblBorders>
    </w:tblPr>
    <w:tblStylePr w:type="firstRow">
      <w:rPr>
        <w:b/>
        <w:bCs/>
        <w:color w:val="FFFFFF" w:themeColor="background1"/>
      </w:rPr>
      <w:tblPr/>
      <w:tcPr>
        <w:tcBorders>
          <w:top w:val="single" w:sz="4" w:space="0" w:color="4F81BD" w:themeColor="accent1"/>
          <w:left w:val="single" w:sz="4" w:space="0" w:color="4F81BD" w:themeColor="accent1"/>
          <w:bottom w:val="single" w:sz="4" w:space="0" w:color="4F81BD" w:themeColor="accent1"/>
          <w:right w:val="single" w:sz="4" w:space="0" w:color="4F81BD" w:themeColor="accent1"/>
          <w:insideH w:val="nil"/>
          <w:insideV w:val="nil"/>
        </w:tcBorders>
        <w:shd w:val="clear" w:color="auto" w:fill="4F81BD" w:themeFill="accent1"/>
      </w:tcPr>
    </w:tblStylePr>
    <w:tblStylePr w:type="lastRow">
      <w:rPr>
        <w:b/>
        <w:bCs/>
      </w:rPr>
      <w:tblPr/>
      <w:tcPr>
        <w:tcBorders>
          <w:top w:val="double" w:sz="4" w:space="0" w:color="4F81BD" w:themeColor="accent1"/>
        </w:tcBorders>
      </w:tcPr>
    </w:tblStylePr>
    <w:tblStylePr w:type="firstCol">
      <w:rPr>
        <w:b/>
        <w:bCs/>
      </w:rPr>
    </w:tblStylePr>
    <w:tblStylePr w:type="lastCol">
      <w:rPr>
        <w:b/>
        <w:bCs/>
      </w:rPr>
    </w:tblStylePr>
    <w:tblStylePr w:type="band1Vert">
      <w:tblPr/>
      <w:tcPr>
        <w:shd w:val="clear" w:color="auto" w:fill="DBE5F1" w:themeFill="accent1" w:themeFillTint="33"/>
      </w:tcPr>
    </w:tblStylePr>
    <w:tblStylePr w:type="band1Horz">
      <w:tblPr/>
      <w:tcPr>
        <w:shd w:val="clear" w:color="auto" w:fill="DBE5F1" w:themeFill="accent1" w:themeFillTint="33"/>
      </w:tcPr>
    </w:tblStylePr>
  </w:style>
  <w:style w:type="table" w:styleId="GridTable4-Accent2">
    <w:name w:val="Grid Table 4 Accent 2"/>
    <w:basedOn w:val="TableNormal"/>
    <w:uiPriority w:val="49"/>
    <w:rsid w:val="00167B18"/>
    <w:pPr>
      <w:spacing w:after="0" w:line="240" w:lineRule="auto"/>
    </w:pPr>
    <w:tblPr>
      <w:tblStyleRowBandSize w:val="1"/>
      <w:tblStyleColBandSize w:val="1"/>
      <w:tblBorders>
        <w:top w:val="single" w:sz="4" w:space="0" w:color="D99594" w:themeColor="accent2" w:themeTint="99"/>
        <w:left w:val="single" w:sz="4" w:space="0" w:color="D99594" w:themeColor="accent2" w:themeTint="99"/>
        <w:bottom w:val="single" w:sz="4" w:space="0" w:color="D99594" w:themeColor="accent2" w:themeTint="99"/>
        <w:right w:val="single" w:sz="4" w:space="0" w:color="D99594" w:themeColor="accent2" w:themeTint="99"/>
        <w:insideH w:val="single" w:sz="4" w:space="0" w:color="D99594" w:themeColor="accent2" w:themeTint="99"/>
        <w:insideV w:val="single" w:sz="4" w:space="0" w:color="D99594" w:themeColor="accent2" w:themeTint="99"/>
      </w:tblBorders>
    </w:tblPr>
    <w:tblStylePr w:type="firstRow">
      <w:rPr>
        <w:b/>
        <w:bCs/>
        <w:color w:val="FFFFFF" w:themeColor="background1"/>
      </w:rPr>
      <w:tblPr/>
      <w:tcPr>
        <w:tcBorders>
          <w:top w:val="single" w:sz="4" w:space="0" w:color="C0504D" w:themeColor="accent2"/>
          <w:left w:val="single" w:sz="4" w:space="0" w:color="C0504D" w:themeColor="accent2"/>
          <w:bottom w:val="single" w:sz="4" w:space="0" w:color="C0504D" w:themeColor="accent2"/>
          <w:right w:val="single" w:sz="4" w:space="0" w:color="C0504D" w:themeColor="accent2"/>
          <w:insideH w:val="nil"/>
          <w:insideV w:val="nil"/>
        </w:tcBorders>
        <w:shd w:val="clear" w:color="auto" w:fill="C0504D" w:themeFill="accent2"/>
      </w:tcPr>
    </w:tblStylePr>
    <w:tblStylePr w:type="lastRow">
      <w:rPr>
        <w:b/>
        <w:bCs/>
      </w:rPr>
      <w:tblPr/>
      <w:tcPr>
        <w:tcBorders>
          <w:top w:val="double" w:sz="4" w:space="0" w:color="C0504D" w:themeColor="accent2"/>
        </w:tcBorders>
      </w:tcPr>
    </w:tblStylePr>
    <w:tblStylePr w:type="firstCol">
      <w:rPr>
        <w:b/>
        <w:bCs/>
      </w:rPr>
    </w:tblStylePr>
    <w:tblStylePr w:type="lastCol">
      <w:rPr>
        <w:b/>
        <w:bCs/>
      </w:rPr>
    </w:tblStylePr>
    <w:tblStylePr w:type="band1Vert">
      <w:tblPr/>
      <w:tcPr>
        <w:shd w:val="clear" w:color="auto" w:fill="F2DBDB" w:themeFill="accent2" w:themeFillTint="33"/>
      </w:tcPr>
    </w:tblStylePr>
    <w:tblStylePr w:type="band1Horz">
      <w:tblPr/>
      <w:tcPr>
        <w:shd w:val="clear" w:color="auto" w:fill="F2DBDB" w:themeFill="accent2" w:themeFillTint="33"/>
      </w:tcPr>
    </w:tblStylePr>
  </w:style>
  <w:style w:type="table" w:styleId="GridTable4-Accent3">
    <w:name w:val="Grid Table 4 Accent 3"/>
    <w:basedOn w:val="TableNormal"/>
    <w:uiPriority w:val="49"/>
    <w:rsid w:val="00167B18"/>
    <w:pPr>
      <w:spacing w:after="0" w:line="240" w:lineRule="auto"/>
    </w:pPr>
    <w:tblPr>
      <w:tblStyleRowBandSize w:val="1"/>
      <w:tblStyleColBandSize w:val="1"/>
      <w:tblBorders>
        <w:top w:val="single" w:sz="4" w:space="0" w:color="C2D69B" w:themeColor="accent3" w:themeTint="99"/>
        <w:left w:val="single" w:sz="4" w:space="0" w:color="C2D69B" w:themeColor="accent3" w:themeTint="99"/>
        <w:bottom w:val="single" w:sz="4" w:space="0" w:color="C2D69B" w:themeColor="accent3" w:themeTint="99"/>
        <w:right w:val="single" w:sz="4" w:space="0" w:color="C2D69B" w:themeColor="accent3" w:themeTint="99"/>
        <w:insideH w:val="single" w:sz="4" w:space="0" w:color="C2D69B" w:themeColor="accent3" w:themeTint="99"/>
        <w:insideV w:val="single" w:sz="4" w:space="0" w:color="C2D69B" w:themeColor="accent3" w:themeTint="99"/>
      </w:tblBorders>
    </w:tblPr>
    <w:tblStylePr w:type="firstRow">
      <w:rPr>
        <w:b/>
        <w:bCs/>
        <w:color w:val="FFFFFF" w:themeColor="background1"/>
      </w:rPr>
      <w:tblPr/>
      <w:tcPr>
        <w:tcBorders>
          <w:top w:val="single" w:sz="4" w:space="0" w:color="9BBB59" w:themeColor="accent3"/>
          <w:left w:val="single" w:sz="4" w:space="0" w:color="9BBB59" w:themeColor="accent3"/>
          <w:bottom w:val="single" w:sz="4" w:space="0" w:color="9BBB59" w:themeColor="accent3"/>
          <w:right w:val="single" w:sz="4" w:space="0" w:color="9BBB59" w:themeColor="accent3"/>
          <w:insideH w:val="nil"/>
          <w:insideV w:val="nil"/>
        </w:tcBorders>
        <w:shd w:val="clear" w:color="auto" w:fill="9BBB59" w:themeFill="accent3"/>
      </w:tcPr>
    </w:tblStylePr>
    <w:tblStylePr w:type="lastRow">
      <w:rPr>
        <w:b/>
        <w:bCs/>
      </w:rPr>
      <w:tblPr/>
      <w:tcPr>
        <w:tcBorders>
          <w:top w:val="double" w:sz="4" w:space="0" w:color="9BBB59" w:themeColor="accent3"/>
        </w:tcBorders>
      </w:tcPr>
    </w:tblStylePr>
    <w:tblStylePr w:type="firstCol">
      <w:rPr>
        <w:b/>
        <w:bCs/>
      </w:rPr>
    </w:tblStylePr>
    <w:tblStylePr w:type="lastCol">
      <w:rPr>
        <w:b/>
        <w:bCs/>
      </w:rPr>
    </w:tblStylePr>
    <w:tblStylePr w:type="band1Vert">
      <w:tblPr/>
      <w:tcPr>
        <w:shd w:val="clear" w:color="auto" w:fill="EAF1DD" w:themeFill="accent3" w:themeFillTint="33"/>
      </w:tcPr>
    </w:tblStylePr>
    <w:tblStylePr w:type="band1Horz">
      <w:tblPr/>
      <w:tcPr>
        <w:shd w:val="clear" w:color="auto" w:fill="EAF1DD" w:themeFill="accent3" w:themeFillTint="33"/>
      </w:tcPr>
    </w:tblStylePr>
  </w:style>
  <w:style w:type="table" w:styleId="GridTable4-Accent4">
    <w:name w:val="Grid Table 4 Accent 4"/>
    <w:basedOn w:val="TableNormal"/>
    <w:uiPriority w:val="49"/>
    <w:rsid w:val="00167B18"/>
    <w:pPr>
      <w:spacing w:after="0" w:line="240" w:lineRule="auto"/>
    </w:pPr>
    <w:tblPr>
      <w:tblStyleRowBandSize w:val="1"/>
      <w:tblStyleColBandSize w:val="1"/>
      <w:tblBorders>
        <w:top w:val="single" w:sz="4" w:space="0" w:color="B2A1C7" w:themeColor="accent4" w:themeTint="99"/>
        <w:left w:val="single" w:sz="4" w:space="0" w:color="B2A1C7" w:themeColor="accent4" w:themeTint="99"/>
        <w:bottom w:val="single" w:sz="4" w:space="0" w:color="B2A1C7" w:themeColor="accent4" w:themeTint="99"/>
        <w:right w:val="single" w:sz="4" w:space="0" w:color="B2A1C7" w:themeColor="accent4" w:themeTint="99"/>
        <w:insideH w:val="single" w:sz="4" w:space="0" w:color="B2A1C7" w:themeColor="accent4" w:themeTint="99"/>
        <w:insideV w:val="single" w:sz="4" w:space="0" w:color="B2A1C7" w:themeColor="accent4" w:themeTint="99"/>
      </w:tblBorders>
    </w:tblPr>
    <w:tblStylePr w:type="firstRow">
      <w:rPr>
        <w:b/>
        <w:bCs/>
        <w:color w:val="FFFFFF" w:themeColor="background1"/>
      </w:rPr>
      <w:tblPr/>
      <w:tcPr>
        <w:tcBorders>
          <w:top w:val="single" w:sz="4" w:space="0" w:color="8064A2" w:themeColor="accent4"/>
          <w:left w:val="single" w:sz="4" w:space="0" w:color="8064A2" w:themeColor="accent4"/>
          <w:bottom w:val="single" w:sz="4" w:space="0" w:color="8064A2" w:themeColor="accent4"/>
          <w:right w:val="single" w:sz="4" w:space="0" w:color="8064A2" w:themeColor="accent4"/>
          <w:insideH w:val="nil"/>
          <w:insideV w:val="nil"/>
        </w:tcBorders>
        <w:shd w:val="clear" w:color="auto" w:fill="8064A2" w:themeFill="accent4"/>
      </w:tcPr>
    </w:tblStylePr>
    <w:tblStylePr w:type="lastRow">
      <w:rPr>
        <w:b/>
        <w:bCs/>
      </w:rPr>
      <w:tblPr/>
      <w:tcPr>
        <w:tcBorders>
          <w:top w:val="double" w:sz="4" w:space="0" w:color="8064A2" w:themeColor="accent4"/>
        </w:tcBorders>
      </w:tcPr>
    </w:tblStylePr>
    <w:tblStylePr w:type="firstCol">
      <w:rPr>
        <w:b/>
        <w:bCs/>
      </w:rPr>
    </w:tblStylePr>
    <w:tblStylePr w:type="lastCol">
      <w:rPr>
        <w:b/>
        <w:bCs/>
      </w:rPr>
    </w:tblStylePr>
    <w:tblStylePr w:type="band1Vert">
      <w:tblPr/>
      <w:tcPr>
        <w:shd w:val="clear" w:color="auto" w:fill="E5DFEC" w:themeFill="accent4" w:themeFillTint="33"/>
      </w:tcPr>
    </w:tblStylePr>
    <w:tblStylePr w:type="band1Horz">
      <w:tblPr/>
      <w:tcPr>
        <w:shd w:val="clear" w:color="auto" w:fill="E5DFEC" w:themeFill="accent4" w:themeFillTint="33"/>
      </w:tcPr>
    </w:tblStylePr>
  </w:style>
  <w:style w:type="table" w:styleId="GridTable4-Accent5">
    <w:name w:val="Grid Table 4 Accent 5"/>
    <w:basedOn w:val="TableNormal"/>
    <w:uiPriority w:val="49"/>
    <w:rsid w:val="00167B18"/>
    <w:pPr>
      <w:spacing w:after="0" w:line="240" w:lineRule="auto"/>
    </w:pPr>
    <w:tblPr>
      <w:tblStyleRowBandSize w:val="1"/>
      <w:tblStyleColBandSize w:val="1"/>
      <w:tblBorders>
        <w:top w:val="single" w:sz="4" w:space="0" w:color="92CDDC" w:themeColor="accent5" w:themeTint="99"/>
        <w:left w:val="single" w:sz="4" w:space="0" w:color="92CDDC" w:themeColor="accent5" w:themeTint="99"/>
        <w:bottom w:val="single" w:sz="4" w:space="0" w:color="92CDDC" w:themeColor="accent5" w:themeTint="99"/>
        <w:right w:val="single" w:sz="4" w:space="0" w:color="92CDDC" w:themeColor="accent5" w:themeTint="99"/>
        <w:insideH w:val="single" w:sz="4" w:space="0" w:color="92CDDC" w:themeColor="accent5" w:themeTint="99"/>
        <w:insideV w:val="single" w:sz="4" w:space="0" w:color="92CDDC" w:themeColor="accent5" w:themeTint="99"/>
      </w:tblBorders>
    </w:tblPr>
    <w:tblStylePr w:type="firstRow">
      <w:rPr>
        <w:b/>
        <w:bCs/>
        <w:color w:val="FFFFFF" w:themeColor="background1"/>
      </w:rPr>
      <w:tblPr/>
      <w:tcPr>
        <w:tcBorders>
          <w:top w:val="single" w:sz="4" w:space="0" w:color="4BACC6" w:themeColor="accent5"/>
          <w:left w:val="single" w:sz="4" w:space="0" w:color="4BACC6" w:themeColor="accent5"/>
          <w:bottom w:val="single" w:sz="4" w:space="0" w:color="4BACC6" w:themeColor="accent5"/>
          <w:right w:val="single" w:sz="4" w:space="0" w:color="4BACC6" w:themeColor="accent5"/>
          <w:insideH w:val="nil"/>
          <w:insideV w:val="nil"/>
        </w:tcBorders>
        <w:shd w:val="clear" w:color="auto" w:fill="4BACC6" w:themeFill="accent5"/>
      </w:tcPr>
    </w:tblStylePr>
    <w:tblStylePr w:type="lastRow">
      <w:rPr>
        <w:b/>
        <w:bCs/>
      </w:rPr>
      <w:tblPr/>
      <w:tcPr>
        <w:tcBorders>
          <w:top w:val="double" w:sz="4" w:space="0" w:color="4BACC6" w:themeColor="accent5"/>
        </w:tcBorders>
      </w:tcPr>
    </w:tblStylePr>
    <w:tblStylePr w:type="firstCol">
      <w:rPr>
        <w:b/>
        <w:bCs/>
      </w:rPr>
    </w:tblStylePr>
    <w:tblStylePr w:type="lastCol">
      <w:rPr>
        <w:b/>
        <w:bCs/>
      </w:rPr>
    </w:tblStylePr>
    <w:tblStylePr w:type="band1Vert">
      <w:tblPr/>
      <w:tcPr>
        <w:shd w:val="clear" w:color="auto" w:fill="DAEEF3" w:themeFill="accent5" w:themeFillTint="33"/>
      </w:tcPr>
    </w:tblStylePr>
    <w:tblStylePr w:type="band1Horz">
      <w:tblPr/>
      <w:tcPr>
        <w:shd w:val="clear" w:color="auto" w:fill="DAEEF3" w:themeFill="accent5" w:themeFillTint="33"/>
      </w:tcPr>
    </w:tblStylePr>
  </w:style>
  <w:style w:type="table" w:styleId="GridTable4-Accent6">
    <w:name w:val="Grid Table 4 Accent 6"/>
    <w:basedOn w:val="TableNormal"/>
    <w:uiPriority w:val="49"/>
    <w:rsid w:val="00167B18"/>
    <w:pPr>
      <w:spacing w:after="0" w:line="240" w:lineRule="auto"/>
    </w:pPr>
    <w:tblPr>
      <w:tblStyleRowBandSize w:val="1"/>
      <w:tblStyleColBandSize w:val="1"/>
      <w:tblBorders>
        <w:top w:val="single" w:sz="4" w:space="0" w:color="FABF8F" w:themeColor="accent6" w:themeTint="99"/>
        <w:left w:val="single" w:sz="4" w:space="0" w:color="FABF8F" w:themeColor="accent6" w:themeTint="99"/>
        <w:bottom w:val="single" w:sz="4" w:space="0" w:color="FABF8F" w:themeColor="accent6" w:themeTint="99"/>
        <w:right w:val="single" w:sz="4" w:space="0" w:color="FABF8F" w:themeColor="accent6" w:themeTint="99"/>
        <w:insideH w:val="single" w:sz="4" w:space="0" w:color="FABF8F" w:themeColor="accent6" w:themeTint="99"/>
        <w:insideV w:val="single" w:sz="4" w:space="0" w:color="FABF8F" w:themeColor="accent6" w:themeTint="99"/>
      </w:tblBorders>
    </w:tblPr>
    <w:tblStylePr w:type="firstRow">
      <w:rPr>
        <w:b/>
        <w:bCs/>
        <w:color w:val="FFFFFF" w:themeColor="background1"/>
      </w:rPr>
      <w:tblPr/>
      <w:tcPr>
        <w:tcBorders>
          <w:top w:val="single" w:sz="4" w:space="0" w:color="F79646" w:themeColor="accent6"/>
          <w:left w:val="single" w:sz="4" w:space="0" w:color="F79646" w:themeColor="accent6"/>
          <w:bottom w:val="single" w:sz="4" w:space="0" w:color="F79646" w:themeColor="accent6"/>
          <w:right w:val="single" w:sz="4" w:space="0" w:color="F79646" w:themeColor="accent6"/>
          <w:insideH w:val="nil"/>
          <w:insideV w:val="nil"/>
        </w:tcBorders>
        <w:shd w:val="clear" w:color="auto" w:fill="F79646" w:themeFill="accent6"/>
      </w:tcPr>
    </w:tblStylePr>
    <w:tblStylePr w:type="lastRow">
      <w:rPr>
        <w:b/>
        <w:bCs/>
      </w:rPr>
      <w:tblPr/>
      <w:tcPr>
        <w:tcBorders>
          <w:top w:val="double" w:sz="4" w:space="0" w:color="F79646" w:themeColor="accent6"/>
        </w:tcBorders>
      </w:tcPr>
    </w:tblStylePr>
    <w:tblStylePr w:type="firstCol">
      <w:rPr>
        <w:b/>
        <w:bCs/>
      </w:rPr>
    </w:tblStylePr>
    <w:tblStylePr w:type="lastCol">
      <w:rPr>
        <w:b/>
        <w:bCs/>
      </w:rPr>
    </w:tblStylePr>
    <w:tblStylePr w:type="band1Vert">
      <w:tblPr/>
      <w:tcPr>
        <w:shd w:val="clear" w:color="auto" w:fill="FDE9D9" w:themeFill="accent6" w:themeFillTint="33"/>
      </w:tcPr>
    </w:tblStylePr>
    <w:tblStylePr w:type="band1Horz">
      <w:tblPr/>
      <w:tcPr>
        <w:shd w:val="clear" w:color="auto" w:fill="FDE9D9" w:themeFill="accent6" w:themeFillTint="33"/>
      </w:tcPr>
    </w:tblStylePr>
  </w:style>
  <w:style w:type="table" w:styleId="GridTable5Dark">
    <w:name w:val="Grid Table 5 Dark"/>
    <w:basedOn w:val="TableNormal"/>
    <w:uiPriority w:val="50"/>
    <w:rsid w:val="00167B18"/>
    <w:pPr>
      <w:spacing w:after="0" w:line="240" w:lineRule="auto"/>
    </w:pPr>
    <w:tblPr>
      <w:tblStyleRowBandSize w:val="1"/>
      <w:tblStyleColBandSize w:val="1"/>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Pr>
    <w:tcPr>
      <w:shd w:val="clear" w:color="auto" w:fill="CCCCCC" w:themeFill="text1" w:themeFillTint="33"/>
    </w:tcPr>
    <w:tblStylePr w:type="firstRow">
      <w:rPr>
        <w:b/>
        <w:bCs/>
        <w:color w:val="FFFFFF" w:themeColor="background1"/>
      </w:rPr>
      <w:tblPr/>
      <w:tcPr>
        <w:tcBorders>
          <w:top w:val="single" w:sz="4" w:space="0" w:color="FFFFFF" w:themeColor="background1"/>
          <w:left w:val="single" w:sz="4" w:space="0" w:color="FFFFFF" w:themeColor="background1"/>
          <w:right w:val="single" w:sz="4" w:space="0" w:color="FFFFFF" w:themeColor="background1"/>
          <w:insideH w:val="nil"/>
          <w:insideV w:val="nil"/>
        </w:tcBorders>
        <w:shd w:val="clear" w:color="auto" w:fill="000000" w:themeFill="text1"/>
      </w:tcPr>
    </w:tblStylePr>
    <w:tblStylePr w:type="lastRow">
      <w:rPr>
        <w:b/>
        <w:bCs/>
        <w:color w:val="FFFFFF" w:themeColor="background1"/>
      </w:rPr>
      <w:tblPr/>
      <w:tcPr>
        <w:tcBorders>
          <w:left w:val="single" w:sz="4" w:space="0" w:color="FFFFFF" w:themeColor="background1"/>
          <w:bottom w:val="single" w:sz="4" w:space="0" w:color="FFFFFF" w:themeColor="background1"/>
          <w:right w:val="single" w:sz="4" w:space="0" w:color="FFFFFF" w:themeColor="background1"/>
          <w:insideH w:val="nil"/>
          <w:insideV w:val="nil"/>
        </w:tcBorders>
        <w:shd w:val="clear" w:color="auto" w:fill="000000" w:themeFill="text1"/>
      </w:tcPr>
    </w:tblStylePr>
    <w:tblStylePr w:type="firstCol">
      <w:rPr>
        <w:b/>
        <w:bCs/>
        <w:color w:val="FFFFFF" w:themeColor="background1"/>
      </w:rPr>
      <w:tblPr/>
      <w:tcPr>
        <w:tcBorders>
          <w:top w:val="single" w:sz="4" w:space="0" w:color="FFFFFF" w:themeColor="background1"/>
          <w:left w:val="single" w:sz="4" w:space="0" w:color="FFFFFF" w:themeColor="background1"/>
          <w:bottom w:val="single" w:sz="4" w:space="0" w:color="FFFFFF" w:themeColor="background1"/>
          <w:insideV w:val="nil"/>
        </w:tcBorders>
        <w:shd w:val="clear" w:color="auto" w:fill="000000" w:themeFill="text1"/>
      </w:tcPr>
    </w:tblStylePr>
    <w:tblStylePr w:type="lastCol">
      <w:rPr>
        <w:b/>
        <w:bCs/>
        <w:color w:val="FFFFFF" w:themeColor="background1"/>
      </w:rPr>
      <w:tblPr/>
      <w:tcPr>
        <w:tcBorders>
          <w:top w:val="single" w:sz="4" w:space="0" w:color="FFFFFF" w:themeColor="background1"/>
          <w:bottom w:val="single" w:sz="4" w:space="0" w:color="FFFFFF" w:themeColor="background1"/>
          <w:right w:val="single" w:sz="4" w:space="0" w:color="FFFFFF" w:themeColor="background1"/>
          <w:insideV w:val="nil"/>
        </w:tcBorders>
        <w:shd w:val="clear" w:color="auto" w:fill="000000" w:themeFill="text1"/>
      </w:tcPr>
    </w:tblStylePr>
    <w:tblStylePr w:type="band1Vert">
      <w:tblPr/>
      <w:tcPr>
        <w:shd w:val="clear" w:color="auto" w:fill="999999" w:themeFill="text1" w:themeFillTint="66"/>
      </w:tcPr>
    </w:tblStylePr>
    <w:tblStylePr w:type="band1Horz">
      <w:tblPr/>
      <w:tcPr>
        <w:shd w:val="clear" w:color="auto" w:fill="999999" w:themeFill="text1" w:themeFillTint="66"/>
      </w:tcPr>
    </w:tblStylePr>
  </w:style>
  <w:style w:type="table" w:styleId="GridTable5Dark-Accent1">
    <w:name w:val="Grid Table 5 Dark Accent 1"/>
    <w:basedOn w:val="TableNormal"/>
    <w:uiPriority w:val="50"/>
    <w:rsid w:val="00167B18"/>
    <w:pPr>
      <w:spacing w:after="0" w:line="240" w:lineRule="auto"/>
    </w:pPr>
    <w:tblPr>
      <w:tblStyleRowBandSize w:val="1"/>
      <w:tblStyleColBandSize w:val="1"/>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Pr>
    <w:tcPr>
      <w:shd w:val="clear" w:color="auto" w:fill="DBE5F1" w:themeFill="accent1" w:themeFillTint="33"/>
    </w:tcPr>
    <w:tblStylePr w:type="firstRow">
      <w:rPr>
        <w:b/>
        <w:bCs/>
        <w:color w:val="FFFFFF" w:themeColor="background1"/>
      </w:rPr>
      <w:tblPr/>
      <w:tcPr>
        <w:tcBorders>
          <w:top w:val="single" w:sz="4" w:space="0" w:color="FFFFFF" w:themeColor="background1"/>
          <w:left w:val="single" w:sz="4" w:space="0" w:color="FFFFFF" w:themeColor="background1"/>
          <w:right w:val="single" w:sz="4" w:space="0" w:color="FFFFFF" w:themeColor="background1"/>
          <w:insideH w:val="nil"/>
          <w:insideV w:val="nil"/>
        </w:tcBorders>
        <w:shd w:val="clear" w:color="auto" w:fill="4F81BD" w:themeFill="accent1"/>
      </w:tcPr>
    </w:tblStylePr>
    <w:tblStylePr w:type="lastRow">
      <w:rPr>
        <w:b/>
        <w:bCs/>
        <w:color w:val="FFFFFF" w:themeColor="background1"/>
      </w:rPr>
      <w:tblPr/>
      <w:tcPr>
        <w:tcBorders>
          <w:left w:val="single" w:sz="4" w:space="0" w:color="FFFFFF" w:themeColor="background1"/>
          <w:bottom w:val="single" w:sz="4" w:space="0" w:color="FFFFFF" w:themeColor="background1"/>
          <w:right w:val="single" w:sz="4" w:space="0" w:color="FFFFFF" w:themeColor="background1"/>
          <w:insideH w:val="nil"/>
          <w:insideV w:val="nil"/>
        </w:tcBorders>
        <w:shd w:val="clear" w:color="auto" w:fill="4F81BD" w:themeFill="accent1"/>
      </w:tcPr>
    </w:tblStylePr>
    <w:tblStylePr w:type="firstCol">
      <w:rPr>
        <w:b/>
        <w:bCs/>
        <w:color w:val="FFFFFF" w:themeColor="background1"/>
      </w:rPr>
      <w:tblPr/>
      <w:tcPr>
        <w:tcBorders>
          <w:top w:val="single" w:sz="4" w:space="0" w:color="FFFFFF" w:themeColor="background1"/>
          <w:left w:val="single" w:sz="4" w:space="0" w:color="FFFFFF" w:themeColor="background1"/>
          <w:bottom w:val="single" w:sz="4" w:space="0" w:color="FFFFFF" w:themeColor="background1"/>
          <w:insideV w:val="nil"/>
        </w:tcBorders>
        <w:shd w:val="clear" w:color="auto" w:fill="4F81BD" w:themeFill="accent1"/>
      </w:tcPr>
    </w:tblStylePr>
    <w:tblStylePr w:type="lastCol">
      <w:rPr>
        <w:b/>
        <w:bCs/>
        <w:color w:val="FFFFFF" w:themeColor="background1"/>
      </w:rPr>
      <w:tblPr/>
      <w:tcPr>
        <w:tcBorders>
          <w:top w:val="single" w:sz="4" w:space="0" w:color="FFFFFF" w:themeColor="background1"/>
          <w:bottom w:val="single" w:sz="4" w:space="0" w:color="FFFFFF" w:themeColor="background1"/>
          <w:right w:val="single" w:sz="4" w:space="0" w:color="FFFFFF" w:themeColor="background1"/>
          <w:insideV w:val="nil"/>
        </w:tcBorders>
        <w:shd w:val="clear" w:color="auto" w:fill="4F81BD" w:themeFill="accent1"/>
      </w:tcPr>
    </w:tblStylePr>
    <w:tblStylePr w:type="band1Vert">
      <w:tblPr/>
      <w:tcPr>
        <w:shd w:val="clear" w:color="auto" w:fill="B8CCE4" w:themeFill="accent1" w:themeFillTint="66"/>
      </w:tcPr>
    </w:tblStylePr>
    <w:tblStylePr w:type="band1Horz">
      <w:tblPr/>
      <w:tcPr>
        <w:shd w:val="clear" w:color="auto" w:fill="B8CCE4" w:themeFill="accent1" w:themeFillTint="66"/>
      </w:tcPr>
    </w:tblStylePr>
  </w:style>
  <w:style w:type="table" w:styleId="GridTable5Dark-Accent2">
    <w:name w:val="Grid Table 5 Dark Accent 2"/>
    <w:basedOn w:val="TableNormal"/>
    <w:uiPriority w:val="50"/>
    <w:rsid w:val="00167B18"/>
    <w:pPr>
      <w:spacing w:after="0" w:line="240" w:lineRule="auto"/>
    </w:pPr>
    <w:tblPr>
      <w:tblStyleRowBandSize w:val="1"/>
      <w:tblStyleColBandSize w:val="1"/>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Pr>
    <w:tcPr>
      <w:shd w:val="clear" w:color="auto" w:fill="F2DBDB" w:themeFill="accent2" w:themeFillTint="33"/>
    </w:tcPr>
    <w:tblStylePr w:type="firstRow">
      <w:rPr>
        <w:b/>
        <w:bCs/>
        <w:color w:val="FFFFFF" w:themeColor="background1"/>
      </w:rPr>
      <w:tblPr/>
      <w:tcPr>
        <w:tcBorders>
          <w:top w:val="single" w:sz="4" w:space="0" w:color="FFFFFF" w:themeColor="background1"/>
          <w:left w:val="single" w:sz="4" w:space="0" w:color="FFFFFF" w:themeColor="background1"/>
          <w:right w:val="single" w:sz="4" w:space="0" w:color="FFFFFF" w:themeColor="background1"/>
          <w:insideH w:val="nil"/>
          <w:insideV w:val="nil"/>
        </w:tcBorders>
        <w:shd w:val="clear" w:color="auto" w:fill="C0504D" w:themeFill="accent2"/>
      </w:tcPr>
    </w:tblStylePr>
    <w:tblStylePr w:type="lastRow">
      <w:rPr>
        <w:b/>
        <w:bCs/>
        <w:color w:val="FFFFFF" w:themeColor="background1"/>
      </w:rPr>
      <w:tblPr/>
      <w:tcPr>
        <w:tcBorders>
          <w:left w:val="single" w:sz="4" w:space="0" w:color="FFFFFF" w:themeColor="background1"/>
          <w:bottom w:val="single" w:sz="4" w:space="0" w:color="FFFFFF" w:themeColor="background1"/>
          <w:right w:val="single" w:sz="4" w:space="0" w:color="FFFFFF" w:themeColor="background1"/>
          <w:insideH w:val="nil"/>
          <w:insideV w:val="nil"/>
        </w:tcBorders>
        <w:shd w:val="clear" w:color="auto" w:fill="C0504D" w:themeFill="accent2"/>
      </w:tcPr>
    </w:tblStylePr>
    <w:tblStylePr w:type="firstCol">
      <w:rPr>
        <w:b/>
        <w:bCs/>
        <w:color w:val="FFFFFF" w:themeColor="background1"/>
      </w:rPr>
      <w:tblPr/>
      <w:tcPr>
        <w:tcBorders>
          <w:top w:val="single" w:sz="4" w:space="0" w:color="FFFFFF" w:themeColor="background1"/>
          <w:left w:val="single" w:sz="4" w:space="0" w:color="FFFFFF" w:themeColor="background1"/>
          <w:bottom w:val="single" w:sz="4" w:space="0" w:color="FFFFFF" w:themeColor="background1"/>
          <w:insideV w:val="nil"/>
        </w:tcBorders>
        <w:shd w:val="clear" w:color="auto" w:fill="C0504D" w:themeFill="accent2"/>
      </w:tcPr>
    </w:tblStylePr>
    <w:tblStylePr w:type="lastCol">
      <w:rPr>
        <w:b/>
        <w:bCs/>
        <w:color w:val="FFFFFF" w:themeColor="background1"/>
      </w:rPr>
      <w:tblPr/>
      <w:tcPr>
        <w:tcBorders>
          <w:top w:val="single" w:sz="4" w:space="0" w:color="FFFFFF" w:themeColor="background1"/>
          <w:bottom w:val="single" w:sz="4" w:space="0" w:color="FFFFFF" w:themeColor="background1"/>
          <w:right w:val="single" w:sz="4" w:space="0" w:color="FFFFFF" w:themeColor="background1"/>
          <w:insideV w:val="nil"/>
        </w:tcBorders>
        <w:shd w:val="clear" w:color="auto" w:fill="C0504D" w:themeFill="accent2"/>
      </w:tcPr>
    </w:tblStylePr>
    <w:tblStylePr w:type="band1Vert">
      <w:tblPr/>
      <w:tcPr>
        <w:shd w:val="clear" w:color="auto" w:fill="E5B8B7" w:themeFill="accent2" w:themeFillTint="66"/>
      </w:tcPr>
    </w:tblStylePr>
    <w:tblStylePr w:type="band1Horz">
      <w:tblPr/>
      <w:tcPr>
        <w:shd w:val="clear" w:color="auto" w:fill="E5B8B7" w:themeFill="accent2" w:themeFillTint="66"/>
      </w:tcPr>
    </w:tblStylePr>
  </w:style>
  <w:style w:type="table" w:styleId="GridTable5Dark-Accent3">
    <w:name w:val="Grid Table 5 Dark Accent 3"/>
    <w:basedOn w:val="TableNormal"/>
    <w:uiPriority w:val="50"/>
    <w:rsid w:val="00167B18"/>
    <w:pPr>
      <w:spacing w:after="0" w:line="240" w:lineRule="auto"/>
    </w:pPr>
    <w:tblPr>
      <w:tblStyleRowBandSize w:val="1"/>
      <w:tblStyleColBandSize w:val="1"/>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Pr>
    <w:tcPr>
      <w:shd w:val="clear" w:color="auto" w:fill="EAF1DD" w:themeFill="accent3" w:themeFillTint="33"/>
    </w:tcPr>
    <w:tblStylePr w:type="firstRow">
      <w:rPr>
        <w:b/>
        <w:bCs/>
        <w:color w:val="FFFFFF" w:themeColor="background1"/>
      </w:rPr>
      <w:tblPr/>
      <w:tcPr>
        <w:tcBorders>
          <w:top w:val="single" w:sz="4" w:space="0" w:color="FFFFFF" w:themeColor="background1"/>
          <w:left w:val="single" w:sz="4" w:space="0" w:color="FFFFFF" w:themeColor="background1"/>
          <w:right w:val="single" w:sz="4" w:space="0" w:color="FFFFFF" w:themeColor="background1"/>
          <w:insideH w:val="nil"/>
          <w:insideV w:val="nil"/>
        </w:tcBorders>
        <w:shd w:val="clear" w:color="auto" w:fill="9BBB59" w:themeFill="accent3"/>
      </w:tcPr>
    </w:tblStylePr>
    <w:tblStylePr w:type="lastRow">
      <w:rPr>
        <w:b/>
        <w:bCs/>
        <w:color w:val="FFFFFF" w:themeColor="background1"/>
      </w:rPr>
      <w:tblPr/>
      <w:tcPr>
        <w:tcBorders>
          <w:left w:val="single" w:sz="4" w:space="0" w:color="FFFFFF" w:themeColor="background1"/>
          <w:bottom w:val="single" w:sz="4" w:space="0" w:color="FFFFFF" w:themeColor="background1"/>
          <w:right w:val="single" w:sz="4" w:space="0" w:color="FFFFFF" w:themeColor="background1"/>
          <w:insideH w:val="nil"/>
          <w:insideV w:val="nil"/>
        </w:tcBorders>
        <w:shd w:val="clear" w:color="auto" w:fill="9BBB59" w:themeFill="accent3"/>
      </w:tcPr>
    </w:tblStylePr>
    <w:tblStylePr w:type="firstCol">
      <w:rPr>
        <w:b/>
        <w:bCs/>
        <w:color w:val="FFFFFF" w:themeColor="background1"/>
      </w:rPr>
      <w:tblPr/>
      <w:tcPr>
        <w:tcBorders>
          <w:top w:val="single" w:sz="4" w:space="0" w:color="FFFFFF" w:themeColor="background1"/>
          <w:left w:val="single" w:sz="4" w:space="0" w:color="FFFFFF" w:themeColor="background1"/>
          <w:bottom w:val="single" w:sz="4" w:space="0" w:color="FFFFFF" w:themeColor="background1"/>
          <w:insideV w:val="nil"/>
        </w:tcBorders>
        <w:shd w:val="clear" w:color="auto" w:fill="9BBB59" w:themeFill="accent3"/>
      </w:tcPr>
    </w:tblStylePr>
    <w:tblStylePr w:type="lastCol">
      <w:rPr>
        <w:b/>
        <w:bCs/>
        <w:color w:val="FFFFFF" w:themeColor="background1"/>
      </w:rPr>
      <w:tblPr/>
      <w:tcPr>
        <w:tcBorders>
          <w:top w:val="single" w:sz="4" w:space="0" w:color="FFFFFF" w:themeColor="background1"/>
          <w:bottom w:val="single" w:sz="4" w:space="0" w:color="FFFFFF" w:themeColor="background1"/>
          <w:right w:val="single" w:sz="4" w:space="0" w:color="FFFFFF" w:themeColor="background1"/>
          <w:insideV w:val="nil"/>
        </w:tcBorders>
        <w:shd w:val="clear" w:color="auto" w:fill="9BBB59" w:themeFill="accent3"/>
      </w:tcPr>
    </w:tblStylePr>
    <w:tblStylePr w:type="band1Vert">
      <w:tblPr/>
      <w:tcPr>
        <w:shd w:val="clear" w:color="auto" w:fill="D6E3BC" w:themeFill="accent3" w:themeFillTint="66"/>
      </w:tcPr>
    </w:tblStylePr>
    <w:tblStylePr w:type="band1Horz">
      <w:tblPr/>
      <w:tcPr>
        <w:shd w:val="clear" w:color="auto" w:fill="D6E3BC" w:themeFill="accent3" w:themeFillTint="66"/>
      </w:tcPr>
    </w:tblStylePr>
  </w:style>
  <w:style w:type="table" w:styleId="GridTable5Dark-Accent4">
    <w:name w:val="Grid Table 5 Dark Accent 4"/>
    <w:basedOn w:val="TableNormal"/>
    <w:uiPriority w:val="50"/>
    <w:rsid w:val="00167B18"/>
    <w:pPr>
      <w:spacing w:after="0" w:line="240" w:lineRule="auto"/>
    </w:pPr>
    <w:tblPr>
      <w:tblStyleRowBandSize w:val="1"/>
      <w:tblStyleColBandSize w:val="1"/>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Pr>
    <w:tcPr>
      <w:shd w:val="clear" w:color="auto" w:fill="E5DFEC" w:themeFill="accent4" w:themeFillTint="33"/>
    </w:tcPr>
    <w:tblStylePr w:type="firstRow">
      <w:rPr>
        <w:b/>
        <w:bCs/>
        <w:color w:val="FFFFFF" w:themeColor="background1"/>
      </w:rPr>
      <w:tblPr/>
      <w:tcPr>
        <w:tcBorders>
          <w:top w:val="single" w:sz="4" w:space="0" w:color="FFFFFF" w:themeColor="background1"/>
          <w:left w:val="single" w:sz="4" w:space="0" w:color="FFFFFF" w:themeColor="background1"/>
          <w:right w:val="single" w:sz="4" w:space="0" w:color="FFFFFF" w:themeColor="background1"/>
          <w:insideH w:val="nil"/>
          <w:insideV w:val="nil"/>
        </w:tcBorders>
        <w:shd w:val="clear" w:color="auto" w:fill="8064A2" w:themeFill="accent4"/>
      </w:tcPr>
    </w:tblStylePr>
    <w:tblStylePr w:type="lastRow">
      <w:rPr>
        <w:b/>
        <w:bCs/>
        <w:color w:val="FFFFFF" w:themeColor="background1"/>
      </w:rPr>
      <w:tblPr/>
      <w:tcPr>
        <w:tcBorders>
          <w:left w:val="single" w:sz="4" w:space="0" w:color="FFFFFF" w:themeColor="background1"/>
          <w:bottom w:val="single" w:sz="4" w:space="0" w:color="FFFFFF" w:themeColor="background1"/>
          <w:right w:val="single" w:sz="4" w:space="0" w:color="FFFFFF" w:themeColor="background1"/>
          <w:insideH w:val="nil"/>
          <w:insideV w:val="nil"/>
        </w:tcBorders>
        <w:shd w:val="clear" w:color="auto" w:fill="8064A2" w:themeFill="accent4"/>
      </w:tcPr>
    </w:tblStylePr>
    <w:tblStylePr w:type="firstCol">
      <w:rPr>
        <w:b/>
        <w:bCs/>
        <w:color w:val="FFFFFF" w:themeColor="background1"/>
      </w:rPr>
      <w:tblPr/>
      <w:tcPr>
        <w:tcBorders>
          <w:top w:val="single" w:sz="4" w:space="0" w:color="FFFFFF" w:themeColor="background1"/>
          <w:left w:val="single" w:sz="4" w:space="0" w:color="FFFFFF" w:themeColor="background1"/>
          <w:bottom w:val="single" w:sz="4" w:space="0" w:color="FFFFFF" w:themeColor="background1"/>
          <w:insideV w:val="nil"/>
        </w:tcBorders>
        <w:shd w:val="clear" w:color="auto" w:fill="8064A2" w:themeFill="accent4"/>
      </w:tcPr>
    </w:tblStylePr>
    <w:tblStylePr w:type="lastCol">
      <w:rPr>
        <w:b/>
        <w:bCs/>
        <w:color w:val="FFFFFF" w:themeColor="background1"/>
      </w:rPr>
      <w:tblPr/>
      <w:tcPr>
        <w:tcBorders>
          <w:top w:val="single" w:sz="4" w:space="0" w:color="FFFFFF" w:themeColor="background1"/>
          <w:bottom w:val="single" w:sz="4" w:space="0" w:color="FFFFFF" w:themeColor="background1"/>
          <w:right w:val="single" w:sz="4" w:space="0" w:color="FFFFFF" w:themeColor="background1"/>
          <w:insideV w:val="nil"/>
        </w:tcBorders>
        <w:shd w:val="clear" w:color="auto" w:fill="8064A2" w:themeFill="accent4"/>
      </w:tcPr>
    </w:tblStylePr>
    <w:tblStylePr w:type="band1Vert">
      <w:tblPr/>
      <w:tcPr>
        <w:shd w:val="clear" w:color="auto" w:fill="CCC0D9" w:themeFill="accent4" w:themeFillTint="66"/>
      </w:tcPr>
    </w:tblStylePr>
    <w:tblStylePr w:type="band1Horz">
      <w:tblPr/>
      <w:tcPr>
        <w:shd w:val="clear" w:color="auto" w:fill="CCC0D9" w:themeFill="accent4" w:themeFillTint="66"/>
      </w:tcPr>
    </w:tblStylePr>
  </w:style>
  <w:style w:type="table" w:styleId="GridTable5Dark-Accent5">
    <w:name w:val="Grid Table 5 Dark Accent 5"/>
    <w:basedOn w:val="TableNormal"/>
    <w:uiPriority w:val="50"/>
    <w:rsid w:val="00167B18"/>
    <w:pPr>
      <w:spacing w:after="0" w:line="240" w:lineRule="auto"/>
    </w:pPr>
    <w:tblPr>
      <w:tblStyleRowBandSize w:val="1"/>
      <w:tblStyleColBandSize w:val="1"/>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Pr>
    <w:tcPr>
      <w:shd w:val="clear" w:color="auto" w:fill="DAEEF3" w:themeFill="accent5" w:themeFillTint="33"/>
    </w:tcPr>
    <w:tblStylePr w:type="firstRow">
      <w:rPr>
        <w:b/>
        <w:bCs/>
        <w:color w:val="FFFFFF" w:themeColor="background1"/>
      </w:rPr>
      <w:tblPr/>
      <w:tcPr>
        <w:tcBorders>
          <w:top w:val="single" w:sz="4" w:space="0" w:color="FFFFFF" w:themeColor="background1"/>
          <w:left w:val="single" w:sz="4" w:space="0" w:color="FFFFFF" w:themeColor="background1"/>
          <w:right w:val="single" w:sz="4" w:space="0" w:color="FFFFFF" w:themeColor="background1"/>
          <w:insideH w:val="nil"/>
          <w:insideV w:val="nil"/>
        </w:tcBorders>
        <w:shd w:val="clear" w:color="auto" w:fill="4BACC6" w:themeFill="accent5"/>
      </w:tcPr>
    </w:tblStylePr>
    <w:tblStylePr w:type="lastRow">
      <w:rPr>
        <w:b/>
        <w:bCs/>
        <w:color w:val="FFFFFF" w:themeColor="background1"/>
      </w:rPr>
      <w:tblPr/>
      <w:tcPr>
        <w:tcBorders>
          <w:left w:val="single" w:sz="4" w:space="0" w:color="FFFFFF" w:themeColor="background1"/>
          <w:bottom w:val="single" w:sz="4" w:space="0" w:color="FFFFFF" w:themeColor="background1"/>
          <w:right w:val="single" w:sz="4" w:space="0" w:color="FFFFFF" w:themeColor="background1"/>
          <w:insideH w:val="nil"/>
          <w:insideV w:val="nil"/>
        </w:tcBorders>
        <w:shd w:val="clear" w:color="auto" w:fill="4BACC6" w:themeFill="accent5"/>
      </w:tcPr>
    </w:tblStylePr>
    <w:tblStylePr w:type="firstCol">
      <w:rPr>
        <w:b/>
        <w:bCs/>
        <w:color w:val="FFFFFF" w:themeColor="background1"/>
      </w:rPr>
      <w:tblPr/>
      <w:tcPr>
        <w:tcBorders>
          <w:top w:val="single" w:sz="4" w:space="0" w:color="FFFFFF" w:themeColor="background1"/>
          <w:left w:val="single" w:sz="4" w:space="0" w:color="FFFFFF" w:themeColor="background1"/>
          <w:bottom w:val="single" w:sz="4" w:space="0" w:color="FFFFFF" w:themeColor="background1"/>
          <w:insideV w:val="nil"/>
        </w:tcBorders>
        <w:shd w:val="clear" w:color="auto" w:fill="4BACC6" w:themeFill="accent5"/>
      </w:tcPr>
    </w:tblStylePr>
    <w:tblStylePr w:type="lastCol">
      <w:rPr>
        <w:b/>
        <w:bCs/>
        <w:color w:val="FFFFFF" w:themeColor="background1"/>
      </w:rPr>
      <w:tblPr/>
      <w:tcPr>
        <w:tcBorders>
          <w:top w:val="single" w:sz="4" w:space="0" w:color="FFFFFF" w:themeColor="background1"/>
          <w:bottom w:val="single" w:sz="4" w:space="0" w:color="FFFFFF" w:themeColor="background1"/>
          <w:right w:val="single" w:sz="4" w:space="0" w:color="FFFFFF" w:themeColor="background1"/>
          <w:insideV w:val="nil"/>
        </w:tcBorders>
        <w:shd w:val="clear" w:color="auto" w:fill="4BACC6" w:themeFill="accent5"/>
      </w:tcPr>
    </w:tblStylePr>
    <w:tblStylePr w:type="band1Vert">
      <w:tblPr/>
      <w:tcPr>
        <w:shd w:val="clear" w:color="auto" w:fill="B6DDE8" w:themeFill="accent5" w:themeFillTint="66"/>
      </w:tcPr>
    </w:tblStylePr>
    <w:tblStylePr w:type="band1Horz">
      <w:tblPr/>
      <w:tcPr>
        <w:shd w:val="clear" w:color="auto" w:fill="B6DDE8" w:themeFill="accent5" w:themeFillTint="66"/>
      </w:tcPr>
    </w:tblStylePr>
  </w:style>
  <w:style w:type="table" w:styleId="GridTable5Dark-Accent6">
    <w:name w:val="Grid Table 5 Dark Accent 6"/>
    <w:basedOn w:val="TableNormal"/>
    <w:uiPriority w:val="50"/>
    <w:rsid w:val="00167B18"/>
    <w:pPr>
      <w:spacing w:after="0" w:line="240" w:lineRule="auto"/>
    </w:pPr>
    <w:tblPr>
      <w:tblStyleRowBandSize w:val="1"/>
      <w:tblStyleColBandSize w:val="1"/>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Pr>
    <w:tcPr>
      <w:shd w:val="clear" w:color="auto" w:fill="FDE9D9" w:themeFill="accent6" w:themeFillTint="33"/>
    </w:tcPr>
    <w:tblStylePr w:type="firstRow">
      <w:rPr>
        <w:b/>
        <w:bCs/>
        <w:color w:val="FFFFFF" w:themeColor="background1"/>
      </w:rPr>
      <w:tblPr/>
      <w:tcPr>
        <w:tcBorders>
          <w:top w:val="single" w:sz="4" w:space="0" w:color="FFFFFF" w:themeColor="background1"/>
          <w:left w:val="single" w:sz="4" w:space="0" w:color="FFFFFF" w:themeColor="background1"/>
          <w:right w:val="single" w:sz="4" w:space="0" w:color="FFFFFF" w:themeColor="background1"/>
          <w:insideH w:val="nil"/>
          <w:insideV w:val="nil"/>
        </w:tcBorders>
        <w:shd w:val="clear" w:color="auto" w:fill="F79646" w:themeFill="accent6"/>
      </w:tcPr>
    </w:tblStylePr>
    <w:tblStylePr w:type="lastRow">
      <w:rPr>
        <w:b/>
        <w:bCs/>
        <w:color w:val="FFFFFF" w:themeColor="background1"/>
      </w:rPr>
      <w:tblPr/>
      <w:tcPr>
        <w:tcBorders>
          <w:left w:val="single" w:sz="4" w:space="0" w:color="FFFFFF" w:themeColor="background1"/>
          <w:bottom w:val="single" w:sz="4" w:space="0" w:color="FFFFFF" w:themeColor="background1"/>
          <w:right w:val="single" w:sz="4" w:space="0" w:color="FFFFFF" w:themeColor="background1"/>
          <w:insideH w:val="nil"/>
          <w:insideV w:val="nil"/>
        </w:tcBorders>
        <w:shd w:val="clear" w:color="auto" w:fill="F79646" w:themeFill="accent6"/>
      </w:tcPr>
    </w:tblStylePr>
    <w:tblStylePr w:type="firstCol">
      <w:rPr>
        <w:b/>
        <w:bCs/>
        <w:color w:val="FFFFFF" w:themeColor="background1"/>
      </w:rPr>
      <w:tblPr/>
      <w:tcPr>
        <w:tcBorders>
          <w:top w:val="single" w:sz="4" w:space="0" w:color="FFFFFF" w:themeColor="background1"/>
          <w:left w:val="single" w:sz="4" w:space="0" w:color="FFFFFF" w:themeColor="background1"/>
          <w:bottom w:val="single" w:sz="4" w:space="0" w:color="FFFFFF" w:themeColor="background1"/>
          <w:insideV w:val="nil"/>
        </w:tcBorders>
        <w:shd w:val="clear" w:color="auto" w:fill="F79646" w:themeFill="accent6"/>
      </w:tcPr>
    </w:tblStylePr>
    <w:tblStylePr w:type="lastCol">
      <w:rPr>
        <w:b/>
        <w:bCs/>
        <w:color w:val="FFFFFF" w:themeColor="background1"/>
      </w:rPr>
      <w:tblPr/>
      <w:tcPr>
        <w:tcBorders>
          <w:top w:val="single" w:sz="4" w:space="0" w:color="FFFFFF" w:themeColor="background1"/>
          <w:bottom w:val="single" w:sz="4" w:space="0" w:color="FFFFFF" w:themeColor="background1"/>
          <w:right w:val="single" w:sz="4" w:space="0" w:color="FFFFFF" w:themeColor="background1"/>
          <w:insideV w:val="nil"/>
        </w:tcBorders>
        <w:shd w:val="clear" w:color="auto" w:fill="F79646" w:themeFill="accent6"/>
      </w:tcPr>
    </w:tblStylePr>
    <w:tblStylePr w:type="band1Vert">
      <w:tblPr/>
      <w:tcPr>
        <w:shd w:val="clear" w:color="auto" w:fill="FBD4B4" w:themeFill="accent6" w:themeFillTint="66"/>
      </w:tcPr>
    </w:tblStylePr>
    <w:tblStylePr w:type="band1Horz">
      <w:tblPr/>
      <w:tcPr>
        <w:shd w:val="clear" w:color="auto" w:fill="FBD4B4" w:themeFill="accent6" w:themeFillTint="66"/>
      </w:tcPr>
    </w:tblStylePr>
  </w:style>
  <w:style w:type="table" w:styleId="GridTable6Colorful">
    <w:name w:val="Grid Table 6 Colorful"/>
    <w:basedOn w:val="TableNormal"/>
    <w:uiPriority w:val="51"/>
    <w:rsid w:val="00167B18"/>
    <w:pPr>
      <w:spacing w:after="0" w:line="240" w:lineRule="auto"/>
    </w:pPr>
    <w:rPr>
      <w:color w:val="000000" w:themeColor="text1"/>
    </w:rPr>
    <w:tblPr>
      <w:tblStyleRowBandSize w:val="1"/>
      <w:tblStyleColBandSize w:val="1"/>
      <w:tblBorders>
        <w:top w:val="single" w:sz="4" w:space="0" w:color="666666" w:themeColor="text1" w:themeTint="99"/>
        <w:left w:val="single" w:sz="4" w:space="0" w:color="666666" w:themeColor="text1" w:themeTint="99"/>
        <w:bottom w:val="single" w:sz="4" w:space="0" w:color="666666" w:themeColor="text1" w:themeTint="99"/>
        <w:right w:val="single" w:sz="4" w:space="0" w:color="666666" w:themeColor="text1" w:themeTint="99"/>
        <w:insideH w:val="single" w:sz="4" w:space="0" w:color="666666" w:themeColor="text1" w:themeTint="99"/>
        <w:insideV w:val="single" w:sz="4" w:space="0" w:color="666666" w:themeColor="text1" w:themeTint="99"/>
      </w:tblBorders>
    </w:tblPr>
    <w:tblStylePr w:type="firstRow">
      <w:rPr>
        <w:b/>
        <w:bCs/>
      </w:rPr>
      <w:tblPr/>
      <w:tcPr>
        <w:tcBorders>
          <w:bottom w:val="single" w:sz="12" w:space="0" w:color="666666" w:themeColor="text1" w:themeTint="99"/>
        </w:tcBorders>
      </w:tcPr>
    </w:tblStylePr>
    <w:tblStylePr w:type="lastRow">
      <w:rPr>
        <w:b/>
        <w:bCs/>
      </w:rPr>
      <w:tblPr/>
      <w:tcPr>
        <w:tcBorders>
          <w:top w:val="double" w:sz="4" w:space="0" w:color="666666" w:themeColor="text1" w:themeTint="99"/>
        </w:tcBorders>
      </w:tcPr>
    </w:tblStylePr>
    <w:tblStylePr w:type="firstCol">
      <w:rPr>
        <w:b/>
        <w:bCs/>
      </w:rPr>
    </w:tblStylePr>
    <w:tblStylePr w:type="lastCol">
      <w:rPr>
        <w:b/>
        <w:bCs/>
      </w:rPr>
    </w:tblStylePr>
    <w:tblStylePr w:type="band1Vert">
      <w:tblPr/>
      <w:tcPr>
        <w:shd w:val="clear" w:color="auto" w:fill="CCCCCC" w:themeFill="text1" w:themeFillTint="33"/>
      </w:tcPr>
    </w:tblStylePr>
    <w:tblStylePr w:type="band1Horz">
      <w:tblPr/>
      <w:tcPr>
        <w:shd w:val="clear" w:color="auto" w:fill="CCCCCC" w:themeFill="text1" w:themeFillTint="33"/>
      </w:tcPr>
    </w:tblStylePr>
  </w:style>
  <w:style w:type="table" w:styleId="GridTable6Colorful-Accent1">
    <w:name w:val="Grid Table 6 Colorful Accent 1"/>
    <w:basedOn w:val="TableNormal"/>
    <w:uiPriority w:val="51"/>
    <w:rsid w:val="00167B18"/>
    <w:pPr>
      <w:spacing w:after="0" w:line="240" w:lineRule="auto"/>
    </w:pPr>
    <w:rPr>
      <w:color w:val="365F91" w:themeColor="accent1" w:themeShade="BF"/>
    </w:rPr>
    <w:tblPr>
      <w:tblStyleRowBandSize w:val="1"/>
      <w:tblStyleColBandSize w:val="1"/>
      <w:tblBorders>
        <w:top w:val="single" w:sz="4" w:space="0" w:color="95B3D7" w:themeColor="accent1" w:themeTint="99"/>
        <w:left w:val="single" w:sz="4" w:space="0" w:color="95B3D7" w:themeColor="accent1" w:themeTint="99"/>
        <w:bottom w:val="single" w:sz="4" w:space="0" w:color="95B3D7" w:themeColor="accent1" w:themeTint="99"/>
        <w:right w:val="single" w:sz="4" w:space="0" w:color="95B3D7" w:themeColor="accent1" w:themeTint="99"/>
        <w:insideH w:val="single" w:sz="4" w:space="0" w:color="95B3D7" w:themeColor="accent1" w:themeTint="99"/>
        <w:insideV w:val="single" w:sz="4" w:space="0" w:color="95B3D7" w:themeColor="accent1" w:themeTint="99"/>
      </w:tblBorders>
    </w:tblPr>
    <w:tblStylePr w:type="firstRow">
      <w:rPr>
        <w:b/>
        <w:bCs/>
      </w:rPr>
      <w:tblPr/>
      <w:tcPr>
        <w:tcBorders>
          <w:bottom w:val="single" w:sz="12" w:space="0" w:color="95B3D7" w:themeColor="accent1" w:themeTint="99"/>
        </w:tcBorders>
      </w:tcPr>
    </w:tblStylePr>
    <w:tblStylePr w:type="lastRow">
      <w:rPr>
        <w:b/>
        <w:bCs/>
      </w:rPr>
      <w:tblPr/>
      <w:tcPr>
        <w:tcBorders>
          <w:top w:val="double" w:sz="4" w:space="0" w:color="95B3D7" w:themeColor="accent1" w:themeTint="99"/>
        </w:tcBorders>
      </w:tcPr>
    </w:tblStylePr>
    <w:tblStylePr w:type="firstCol">
      <w:rPr>
        <w:b/>
        <w:bCs/>
      </w:rPr>
    </w:tblStylePr>
    <w:tblStylePr w:type="lastCol">
      <w:rPr>
        <w:b/>
        <w:bCs/>
      </w:rPr>
    </w:tblStylePr>
    <w:tblStylePr w:type="band1Vert">
      <w:tblPr/>
      <w:tcPr>
        <w:shd w:val="clear" w:color="auto" w:fill="DBE5F1" w:themeFill="accent1" w:themeFillTint="33"/>
      </w:tcPr>
    </w:tblStylePr>
    <w:tblStylePr w:type="band1Horz">
      <w:tblPr/>
      <w:tcPr>
        <w:shd w:val="clear" w:color="auto" w:fill="DBE5F1" w:themeFill="accent1" w:themeFillTint="33"/>
      </w:tcPr>
    </w:tblStylePr>
  </w:style>
  <w:style w:type="table" w:styleId="GridTable6Colorful-Accent2">
    <w:name w:val="Grid Table 6 Colorful Accent 2"/>
    <w:basedOn w:val="TableNormal"/>
    <w:uiPriority w:val="51"/>
    <w:rsid w:val="00167B18"/>
    <w:pPr>
      <w:spacing w:after="0" w:line="240" w:lineRule="auto"/>
    </w:pPr>
    <w:rPr>
      <w:color w:val="943634" w:themeColor="accent2" w:themeShade="BF"/>
    </w:rPr>
    <w:tblPr>
      <w:tblStyleRowBandSize w:val="1"/>
      <w:tblStyleColBandSize w:val="1"/>
      <w:tblBorders>
        <w:top w:val="single" w:sz="4" w:space="0" w:color="D99594" w:themeColor="accent2" w:themeTint="99"/>
        <w:left w:val="single" w:sz="4" w:space="0" w:color="D99594" w:themeColor="accent2" w:themeTint="99"/>
        <w:bottom w:val="single" w:sz="4" w:space="0" w:color="D99594" w:themeColor="accent2" w:themeTint="99"/>
        <w:right w:val="single" w:sz="4" w:space="0" w:color="D99594" w:themeColor="accent2" w:themeTint="99"/>
        <w:insideH w:val="single" w:sz="4" w:space="0" w:color="D99594" w:themeColor="accent2" w:themeTint="99"/>
        <w:insideV w:val="single" w:sz="4" w:space="0" w:color="D99594" w:themeColor="accent2" w:themeTint="99"/>
      </w:tblBorders>
    </w:tblPr>
    <w:tblStylePr w:type="firstRow">
      <w:rPr>
        <w:b/>
        <w:bCs/>
      </w:rPr>
      <w:tblPr/>
      <w:tcPr>
        <w:tcBorders>
          <w:bottom w:val="single" w:sz="12" w:space="0" w:color="D99594" w:themeColor="accent2" w:themeTint="99"/>
        </w:tcBorders>
      </w:tcPr>
    </w:tblStylePr>
    <w:tblStylePr w:type="lastRow">
      <w:rPr>
        <w:b/>
        <w:bCs/>
      </w:rPr>
      <w:tblPr/>
      <w:tcPr>
        <w:tcBorders>
          <w:top w:val="double" w:sz="4" w:space="0" w:color="D99594" w:themeColor="accent2" w:themeTint="99"/>
        </w:tcBorders>
      </w:tcPr>
    </w:tblStylePr>
    <w:tblStylePr w:type="firstCol">
      <w:rPr>
        <w:b/>
        <w:bCs/>
      </w:rPr>
    </w:tblStylePr>
    <w:tblStylePr w:type="lastCol">
      <w:rPr>
        <w:b/>
        <w:bCs/>
      </w:rPr>
    </w:tblStylePr>
    <w:tblStylePr w:type="band1Vert">
      <w:tblPr/>
      <w:tcPr>
        <w:shd w:val="clear" w:color="auto" w:fill="F2DBDB" w:themeFill="accent2" w:themeFillTint="33"/>
      </w:tcPr>
    </w:tblStylePr>
    <w:tblStylePr w:type="band1Horz">
      <w:tblPr/>
      <w:tcPr>
        <w:shd w:val="clear" w:color="auto" w:fill="F2DBDB" w:themeFill="accent2" w:themeFillTint="33"/>
      </w:tcPr>
    </w:tblStylePr>
  </w:style>
  <w:style w:type="table" w:styleId="GridTable6Colorful-Accent3">
    <w:name w:val="Grid Table 6 Colorful Accent 3"/>
    <w:basedOn w:val="TableNormal"/>
    <w:uiPriority w:val="51"/>
    <w:rsid w:val="00167B18"/>
    <w:pPr>
      <w:spacing w:after="0" w:line="240" w:lineRule="auto"/>
    </w:pPr>
    <w:rPr>
      <w:color w:val="76923C" w:themeColor="accent3" w:themeShade="BF"/>
    </w:rPr>
    <w:tblPr>
      <w:tblStyleRowBandSize w:val="1"/>
      <w:tblStyleColBandSize w:val="1"/>
      <w:tblBorders>
        <w:top w:val="single" w:sz="4" w:space="0" w:color="C2D69B" w:themeColor="accent3" w:themeTint="99"/>
        <w:left w:val="single" w:sz="4" w:space="0" w:color="C2D69B" w:themeColor="accent3" w:themeTint="99"/>
        <w:bottom w:val="single" w:sz="4" w:space="0" w:color="C2D69B" w:themeColor="accent3" w:themeTint="99"/>
        <w:right w:val="single" w:sz="4" w:space="0" w:color="C2D69B" w:themeColor="accent3" w:themeTint="99"/>
        <w:insideH w:val="single" w:sz="4" w:space="0" w:color="C2D69B" w:themeColor="accent3" w:themeTint="99"/>
        <w:insideV w:val="single" w:sz="4" w:space="0" w:color="C2D69B" w:themeColor="accent3" w:themeTint="99"/>
      </w:tblBorders>
    </w:tblPr>
    <w:tblStylePr w:type="firstRow">
      <w:rPr>
        <w:b/>
        <w:bCs/>
      </w:rPr>
      <w:tblPr/>
      <w:tcPr>
        <w:tcBorders>
          <w:bottom w:val="single" w:sz="12" w:space="0" w:color="C2D69B" w:themeColor="accent3" w:themeTint="99"/>
        </w:tcBorders>
      </w:tcPr>
    </w:tblStylePr>
    <w:tblStylePr w:type="lastRow">
      <w:rPr>
        <w:b/>
        <w:bCs/>
      </w:rPr>
      <w:tblPr/>
      <w:tcPr>
        <w:tcBorders>
          <w:top w:val="double" w:sz="4" w:space="0" w:color="C2D69B" w:themeColor="accent3" w:themeTint="99"/>
        </w:tcBorders>
      </w:tcPr>
    </w:tblStylePr>
    <w:tblStylePr w:type="firstCol">
      <w:rPr>
        <w:b/>
        <w:bCs/>
      </w:rPr>
    </w:tblStylePr>
    <w:tblStylePr w:type="lastCol">
      <w:rPr>
        <w:b/>
        <w:bCs/>
      </w:rPr>
    </w:tblStylePr>
    <w:tblStylePr w:type="band1Vert">
      <w:tblPr/>
      <w:tcPr>
        <w:shd w:val="clear" w:color="auto" w:fill="EAF1DD" w:themeFill="accent3" w:themeFillTint="33"/>
      </w:tcPr>
    </w:tblStylePr>
    <w:tblStylePr w:type="band1Horz">
      <w:tblPr/>
      <w:tcPr>
        <w:shd w:val="clear" w:color="auto" w:fill="EAF1DD" w:themeFill="accent3" w:themeFillTint="33"/>
      </w:tcPr>
    </w:tblStylePr>
  </w:style>
  <w:style w:type="table" w:styleId="GridTable6Colorful-Accent4">
    <w:name w:val="Grid Table 6 Colorful Accent 4"/>
    <w:basedOn w:val="TableNormal"/>
    <w:uiPriority w:val="51"/>
    <w:rsid w:val="00167B18"/>
    <w:pPr>
      <w:spacing w:after="0" w:line="240" w:lineRule="auto"/>
    </w:pPr>
    <w:rPr>
      <w:color w:val="5F497A" w:themeColor="accent4" w:themeShade="BF"/>
    </w:rPr>
    <w:tblPr>
      <w:tblStyleRowBandSize w:val="1"/>
      <w:tblStyleColBandSize w:val="1"/>
      <w:tblBorders>
        <w:top w:val="single" w:sz="4" w:space="0" w:color="B2A1C7" w:themeColor="accent4" w:themeTint="99"/>
        <w:left w:val="single" w:sz="4" w:space="0" w:color="B2A1C7" w:themeColor="accent4" w:themeTint="99"/>
        <w:bottom w:val="single" w:sz="4" w:space="0" w:color="B2A1C7" w:themeColor="accent4" w:themeTint="99"/>
        <w:right w:val="single" w:sz="4" w:space="0" w:color="B2A1C7" w:themeColor="accent4" w:themeTint="99"/>
        <w:insideH w:val="single" w:sz="4" w:space="0" w:color="B2A1C7" w:themeColor="accent4" w:themeTint="99"/>
        <w:insideV w:val="single" w:sz="4" w:space="0" w:color="B2A1C7" w:themeColor="accent4" w:themeTint="99"/>
      </w:tblBorders>
    </w:tblPr>
    <w:tblStylePr w:type="firstRow">
      <w:rPr>
        <w:b/>
        <w:bCs/>
      </w:rPr>
      <w:tblPr/>
      <w:tcPr>
        <w:tcBorders>
          <w:bottom w:val="single" w:sz="12" w:space="0" w:color="B2A1C7" w:themeColor="accent4" w:themeTint="99"/>
        </w:tcBorders>
      </w:tcPr>
    </w:tblStylePr>
    <w:tblStylePr w:type="lastRow">
      <w:rPr>
        <w:b/>
        <w:bCs/>
      </w:rPr>
      <w:tblPr/>
      <w:tcPr>
        <w:tcBorders>
          <w:top w:val="double" w:sz="4" w:space="0" w:color="B2A1C7" w:themeColor="accent4" w:themeTint="99"/>
        </w:tcBorders>
      </w:tcPr>
    </w:tblStylePr>
    <w:tblStylePr w:type="firstCol">
      <w:rPr>
        <w:b/>
        <w:bCs/>
      </w:rPr>
    </w:tblStylePr>
    <w:tblStylePr w:type="lastCol">
      <w:rPr>
        <w:b/>
        <w:bCs/>
      </w:rPr>
    </w:tblStylePr>
    <w:tblStylePr w:type="band1Vert">
      <w:tblPr/>
      <w:tcPr>
        <w:shd w:val="clear" w:color="auto" w:fill="E5DFEC" w:themeFill="accent4" w:themeFillTint="33"/>
      </w:tcPr>
    </w:tblStylePr>
    <w:tblStylePr w:type="band1Horz">
      <w:tblPr/>
      <w:tcPr>
        <w:shd w:val="clear" w:color="auto" w:fill="E5DFEC" w:themeFill="accent4" w:themeFillTint="33"/>
      </w:tcPr>
    </w:tblStylePr>
  </w:style>
  <w:style w:type="table" w:styleId="GridTable6Colorful-Accent5">
    <w:name w:val="Grid Table 6 Colorful Accent 5"/>
    <w:basedOn w:val="TableNormal"/>
    <w:uiPriority w:val="51"/>
    <w:rsid w:val="00167B18"/>
    <w:pPr>
      <w:spacing w:after="0" w:line="240" w:lineRule="auto"/>
    </w:pPr>
    <w:rPr>
      <w:color w:val="31849B" w:themeColor="accent5" w:themeShade="BF"/>
    </w:rPr>
    <w:tblPr>
      <w:tblStyleRowBandSize w:val="1"/>
      <w:tblStyleColBandSize w:val="1"/>
      <w:tblBorders>
        <w:top w:val="single" w:sz="4" w:space="0" w:color="92CDDC" w:themeColor="accent5" w:themeTint="99"/>
        <w:left w:val="single" w:sz="4" w:space="0" w:color="92CDDC" w:themeColor="accent5" w:themeTint="99"/>
        <w:bottom w:val="single" w:sz="4" w:space="0" w:color="92CDDC" w:themeColor="accent5" w:themeTint="99"/>
        <w:right w:val="single" w:sz="4" w:space="0" w:color="92CDDC" w:themeColor="accent5" w:themeTint="99"/>
        <w:insideH w:val="single" w:sz="4" w:space="0" w:color="92CDDC" w:themeColor="accent5" w:themeTint="99"/>
        <w:insideV w:val="single" w:sz="4" w:space="0" w:color="92CDDC" w:themeColor="accent5" w:themeTint="99"/>
      </w:tblBorders>
    </w:tblPr>
    <w:tblStylePr w:type="firstRow">
      <w:rPr>
        <w:b/>
        <w:bCs/>
      </w:rPr>
      <w:tblPr/>
      <w:tcPr>
        <w:tcBorders>
          <w:bottom w:val="single" w:sz="12" w:space="0" w:color="92CDDC" w:themeColor="accent5" w:themeTint="99"/>
        </w:tcBorders>
      </w:tcPr>
    </w:tblStylePr>
    <w:tblStylePr w:type="lastRow">
      <w:rPr>
        <w:b/>
        <w:bCs/>
      </w:rPr>
      <w:tblPr/>
      <w:tcPr>
        <w:tcBorders>
          <w:top w:val="double" w:sz="4" w:space="0" w:color="92CDDC" w:themeColor="accent5" w:themeTint="99"/>
        </w:tcBorders>
      </w:tcPr>
    </w:tblStylePr>
    <w:tblStylePr w:type="firstCol">
      <w:rPr>
        <w:b/>
        <w:bCs/>
      </w:rPr>
    </w:tblStylePr>
    <w:tblStylePr w:type="lastCol">
      <w:rPr>
        <w:b/>
        <w:bCs/>
      </w:rPr>
    </w:tblStylePr>
    <w:tblStylePr w:type="band1Vert">
      <w:tblPr/>
      <w:tcPr>
        <w:shd w:val="clear" w:color="auto" w:fill="DAEEF3" w:themeFill="accent5" w:themeFillTint="33"/>
      </w:tcPr>
    </w:tblStylePr>
    <w:tblStylePr w:type="band1Horz">
      <w:tblPr/>
      <w:tcPr>
        <w:shd w:val="clear" w:color="auto" w:fill="DAEEF3" w:themeFill="accent5" w:themeFillTint="33"/>
      </w:tcPr>
    </w:tblStylePr>
  </w:style>
  <w:style w:type="table" w:styleId="GridTable6Colorful-Accent6">
    <w:name w:val="Grid Table 6 Colorful Accent 6"/>
    <w:basedOn w:val="TableNormal"/>
    <w:uiPriority w:val="51"/>
    <w:rsid w:val="00167B18"/>
    <w:pPr>
      <w:spacing w:after="0" w:line="240" w:lineRule="auto"/>
    </w:pPr>
    <w:rPr>
      <w:color w:val="E36C0A" w:themeColor="accent6" w:themeShade="BF"/>
    </w:rPr>
    <w:tblPr>
      <w:tblStyleRowBandSize w:val="1"/>
      <w:tblStyleColBandSize w:val="1"/>
      <w:tblBorders>
        <w:top w:val="single" w:sz="4" w:space="0" w:color="FABF8F" w:themeColor="accent6" w:themeTint="99"/>
        <w:left w:val="single" w:sz="4" w:space="0" w:color="FABF8F" w:themeColor="accent6" w:themeTint="99"/>
        <w:bottom w:val="single" w:sz="4" w:space="0" w:color="FABF8F" w:themeColor="accent6" w:themeTint="99"/>
        <w:right w:val="single" w:sz="4" w:space="0" w:color="FABF8F" w:themeColor="accent6" w:themeTint="99"/>
        <w:insideH w:val="single" w:sz="4" w:space="0" w:color="FABF8F" w:themeColor="accent6" w:themeTint="99"/>
        <w:insideV w:val="single" w:sz="4" w:space="0" w:color="FABF8F" w:themeColor="accent6" w:themeTint="99"/>
      </w:tblBorders>
    </w:tblPr>
    <w:tblStylePr w:type="firstRow">
      <w:rPr>
        <w:b/>
        <w:bCs/>
      </w:rPr>
      <w:tblPr/>
      <w:tcPr>
        <w:tcBorders>
          <w:bottom w:val="single" w:sz="12" w:space="0" w:color="FABF8F" w:themeColor="accent6" w:themeTint="99"/>
        </w:tcBorders>
      </w:tcPr>
    </w:tblStylePr>
    <w:tblStylePr w:type="lastRow">
      <w:rPr>
        <w:b/>
        <w:bCs/>
      </w:rPr>
      <w:tblPr/>
      <w:tcPr>
        <w:tcBorders>
          <w:top w:val="double" w:sz="4" w:space="0" w:color="FABF8F" w:themeColor="accent6" w:themeTint="99"/>
        </w:tcBorders>
      </w:tcPr>
    </w:tblStylePr>
    <w:tblStylePr w:type="firstCol">
      <w:rPr>
        <w:b/>
        <w:bCs/>
      </w:rPr>
    </w:tblStylePr>
    <w:tblStylePr w:type="lastCol">
      <w:rPr>
        <w:b/>
        <w:bCs/>
      </w:rPr>
    </w:tblStylePr>
    <w:tblStylePr w:type="band1Vert">
      <w:tblPr/>
      <w:tcPr>
        <w:shd w:val="clear" w:color="auto" w:fill="FDE9D9" w:themeFill="accent6" w:themeFillTint="33"/>
      </w:tcPr>
    </w:tblStylePr>
    <w:tblStylePr w:type="band1Horz">
      <w:tblPr/>
      <w:tcPr>
        <w:shd w:val="clear" w:color="auto" w:fill="FDE9D9" w:themeFill="accent6" w:themeFillTint="33"/>
      </w:tcPr>
    </w:tblStylePr>
  </w:style>
  <w:style w:type="table" w:styleId="GridTable7Colorful">
    <w:name w:val="Grid Table 7 Colorful"/>
    <w:basedOn w:val="TableNormal"/>
    <w:uiPriority w:val="52"/>
    <w:rsid w:val="00167B18"/>
    <w:pPr>
      <w:spacing w:after="0" w:line="240" w:lineRule="auto"/>
    </w:pPr>
    <w:rPr>
      <w:color w:val="000000" w:themeColor="text1"/>
    </w:rPr>
    <w:tblPr>
      <w:tblStyleRowBandSize w:val="1"/>
      <w:tblStyleColBandSize w:val="1"/>
      <w:tblBorders>
        <w:top w:val="single" w:sz="4" w:space="0" w:color="666666" w:themeColor="text1" w:themeTint="99"/>
        <w:left w:val="single" w:sz="4" w:space="0" w:color="666666" w:themeColor="text1" w:themeTint="99"/>
        <w:bottom w:val="single" w:sz="4" w:space="0" w:color="666666" w:themeColor="text1" w:themeTint="99"/>
        <w:right w:val="single" w:sz="4" w:space="0" w:color="666666" w:themeColor="text1" w:themeTint="99"/>
        <w:insideH w:val="single" w:sz="4" w:space="0" w:color="666666" w:themeColor="text1" w:themeTint="99"/>
        <w:insideV w:val="single" w:sz="4" w:space="0" w:color="666666" w:themeColor="text1" w:themeTint="99"/>
      </w:tblBorders>
    </w:tblPr>
    <w:tblStylePr w:type="firstRow">
      <w:rPr>
        <w:b/>
        <w:bCs/>
      </w:rPr>
      <w:tblPr/>
      <w:tcPr>
        <w:tcBorders>
          <w:top w:val="nil"/>
          <w:left w:val="nil"/>
          <w:right w:val="nil"/>
          <w:insideH w:val="nil"/>
          <w:insideV w:val="nil"/>
        </w:tcBorders>
        <w:shd w:val="clear" w:color="auto" w:fill="FFFFFF" w:themeFill="background1"/>
      </w:tcPr>
    </w:tblStylePr>
    <w:tblStylePr w:type="lastRow">
      <w:rPr>
        <w:b/>
        <w:bCs/>
      </w:rPr>
      <w:tblPr/>
      <w:tcPr>
        <w:tcBorders>
          <w:left w:val="nil"/>
          <w:bottom w:val="nil"/>
          <w:right w:val="nil"/>
          <w:insideH w:val="nil"/>
          <w:insideV w:val="nil"/>
        </w:tcBorders>
        <w:shd w:val="clear" w:color="auto" w:fill="FFFFFF" w:themeFill="background1"/>
      </w:tcPr>
    </w:tblStylePr>
    <w:tblStylePr w:type="firstCol">
      <w:pPr>
        <w:jc w:val="right"/>
      </w:pPr>
      <w:rPr>
        <w:i/>
        <w:iCs/>
      </w:rPr>
      <w:tblPr/>
      <w:tcPr>
        <w:tcBorders>
          <w:top w:val="nil"/>
          <w:left w:val="nil"/>
          <w:bottom w:val="nil"/>
          <w:insideH w:val="nil"/>
          <w:insideV w:val="nil"/>
        </w:tcBorders>
        <w:shd w:val="clear" w:color="auto" w:fill="FFFFFF" w:themeFill="background1"/>
      </w:tcPr>
    </w:tblStylePr>
    <w:tblStylePr w:type="lastCol">
      <w:rPr>
        <w:i/>
        <w:iCs/>
      </w:rPr>
      <w:tblPr/>
      <w:tcPr>
        <w:tcBorders>
          <w:top w:val="nil"/>
          <w:bottom w:val="nil"/>
          <w:right w:val="nil"/>
          <w:insideH w:val="nil"/>
          <w:insideV w:val="nil"/>
        </w:tcBorders>
        <w:shd w:val="clear" w:color="auto" w:fill="FFFFFF" w:themeFill="background1"/>
      </w:tcPr>
    </w:tblStylePr>
    <w:tblStylePr w:type="band1Vert">
      <w:tblPr/>
      <w:tcPr>
        <w:shd w:val="clear" w:color="auto" w:fill="CCCCCC" w:themeFill="text1" w:themeFillTint="33"/>
      </w:tcPr>
    </w:tblStylePr>
    <w:tblStylePr w:type="band1Horz">
      <w:tblPr/>
      <w:tcPr>
        <w:shd w:val="clear" w:color="auto" w:fill="CCCCCC" w:themeFill="text1" w:themeFillTint="33"/>
      </w:tcPr>
    </w:tblStylePr>
    <w:tblStylePr w:type="neCell">
      <w:tblPr/>
      <w:tcPr>
        <w:tcBorders>
          <w:bottom w:val="single" w:sz="4" w:space="0" w:color="666666" w:themeColor="text1" w:themeTint="99"/>
        </w:tcBorders>
      </w:tcPr>
    </w:tblStylePr>
    <w:tblStylePr w:type="nwCell">
      <w:tblPr/>
      <w:tcPr>
        <w:tcBorders>
          <w:bottom w:val="single" w:sz="4" w:space="0" w:color="666666" w:themeColor="text1" w:themeTint="99"/>
        </w:tcBorders>
      </w:tcPr>
    </w:tblStylePr>
    <w:tblStylePr w:type="seCell">
      <w:tblPr/>
      <w:tcPr>
        <w:tcBorders>
          <w:top w:val="single" w:sz="4" w:space="0" w:color="666666" w:themeColor="text1" w:themeTint="99"/>
        </w:tcBorders>
      </w:tcPr>
    </w:tblStylePr>
    <w:tblStylePr w:type="swCell">
      <w:tblPr/>
      <w:tcPr>
        <w:tcBorders>
          <w:top w:val="single" w:sz="4" w:space="0" w:color="666666" w:themeColor="text1" w:themeTint="99"/>
        </w:tcBorders>
      </w:tcPr>
    </w:tblStylePr>
  </w:style>
  <w:style w:type="table" w:styleId="GridTable7Colorful-Accent1">
    <w:name w:val="Grid Table 7 Colorful Accent 1"/>
    <w:basedOn w:val="TableNormal"/>
    <w:uiPriority w:val="52"/>
    <w:rsid w:val="00167B18"/>
    <w:pPr>
      <w:spacing w:after="0" w:line="240" w:lineRule="auto"/>
    </w:pPr>
    <w:rPr>
      <w:color w:val="365F91" w:themeColor="accent1" w:themeShade="BF"/>
    </w:rPr>
    <w:tblPr>
      <w:tblStyleRowBandSize w:val="1"/>
      <w:tblStyleColBandSize w:val="1"/>
      <w:tblBorders>
        <w:top w:val="single" w:sz="4" w:space="0" w:color="95B3D7" w:themeColor="accent1" w:themeTint="99"/>
        <w:left w:val="single" w:sz="4" w:space="0" w:color="95B3D7" w:themeColor="accent1" w:themeTint="99"/>
        <w:bottom w:val="single" w:sz="4" w:space="0" w:color="95B3D7" w:themeColor="accent1" w:themeTint="99"/>
        <w:right w:val="single" w:sz="4" w:space="0" w:color="95B3D7" w:themeColor="accent1" w:themeTint="99"/>
        <w:insideH w:val="single" w:sz="4" w:space="0" w:color="95B3D7" w:themeColor="accent1" w:themeTint="99"/>
        <w:insideV w:val="single" w:sz="4" w:space="0" w:color="95B3D7" w:themeColor="accent1" w:themeTint="99"/>
      </w:tblBorders>
    </w:tblPr>
    <w:tblStylePr w:type="firstRow">
      <w:rPr>
        <w:b/>
        <w:bCs/>
      </w:rPr>
      <w:tblPr/>
      <w:tcPr>
        <w:tcBorders>
          <w:top w:val="nil"/>
          <w:left w:val="nil"/>
          <w:right w:val="nil"/>
          <w:insideH w:val="nil"/>
          <w:insideV w:val="nil"/>
        </w:tcBorders>
        <w:shd w:val="clear" w:color="auto" w:fill="FFFFFF" w:themeFill="background1"/>
      </w:tcPr>
    </w:tblStylePr>
    <w:tblStylePr w:type="lastRow">
      <w:rPr>
        <w:b/>
        <w:bCs/>
      </w:rPr>
      <w:tblPr/>
      <w:tcPr>
        <w:tcBorders>
          <w:left w:val="nil"/>
          <w:bottom w:val="nil"/>
          <w:right w:val="nil"/>
          <w:insideH w:val="nil"/>
          <w:insideV w:val="nil"/>
        </w:tcBorders>
        <w:shd w:val="clear" w:color="auto" w:fill="FFFFFF" w:themeFill="background1"/>
      </w:tcPr>
    </w:tblStylePr>
    <w:tblStylePr w:type="firstCol">
      <w:pPr>
        <w:jc w:val="right"/>
      </w:pPr>
      <w:rPr>
        <w:i/>
        <w:iCs/>
      </w:rPr>
      <w:tblPr/>
      <w:tcPr>
        <w:tcBorders>
          <w:top w:val="nil"/>
          <w:left w:val="nil"/>
          <w:bottom w:val="nil"/>
          <w:insideH w:val="nil"/>
          <w:insideV w:val="nil"/>
        </w:tcBorders>
        <w:shd w:val="clear" w:color="auto" w:fill="FFFFFF" w:themeFill="background1"/>
      </w:tcPr>
    </w:tblStylePr>
    <w:tblStylePr w:type="lastCol">
      <w:rPr>
        <w:i/>
        <w:iCs/>
      </w:rPr>
      <w:tblPr/>
      <w:tcPr>
        <w:tcBorders>
          <w:top w:val="nil"/>
          <w:bottom w:val="nil"/>
          <w:right w:val="nil"/>
          <w:insideH w:val="nil"/>
          <w:insideV w:val="nil"/>
        </w:tcBorders>
        <w:shd w:val="clear" w:color="auto" w:fill="FFFFFF" w:themeFill="background1"/>
      </w:tcPr>
    </w:tblStylePr>
    <w:tblStylePr w:type="band1Vert">
      <w:tblPr/>
      <w:tcPr>
        <w:shd w:val="clear" w:color="auto" w:fill="DBE5F1" w:themeFill="accent1" w:themeFillTint="33"/>
      </w:tcPr>
    </w:tblStylePr>
    <w:tblStylePr w:type="band1Horz">
      <w:tblPr/>
      <w:tcPr>
        <w:shd w:val="clear" w:color="auto" w:fill="DBE5F1" w:themeFill="accent1" w:themeFillTint="33"/>
      </w:tcPr>
    </w:tblStylePr>
    <w:tblStylePr w:type="neCell">
      <w:tblPr/>
      <w:tcPr>
        <w:tcBorders>
          <w:bottom w:val="single" w:sz="4" w:space="0" w:color="95B3D7" w:themeColor="accent1" w:themeTint="99"/>
        </w:tcBorders>
      </w:tcPr>
    </w:tblStylePr>
    <w:tblStylePr w:type="nwCell">
      <w:tblPr/>
      <w:tcPr>
        <w:tcBorders>
          <w:bottom w:val="single" w:sz="4" w:space="0" w:color="95B3D7" w:themeColor="accent1" w:themeTint="99"/>
        </w:tcBorders>
      </w:tcPr>
    </w:tblStylePr>
    <w:tblStylePr w:type="seCell">
      <w:tblPr/>
      <w:tcPr>
        <w:tcBorders>
          <w:top w:val="single" w:sz="4" w:space="0" w:color="95B3D7" w:themeColor="accent1" w:themeTint="99"/>
        </w:tcBorders>
      </w:tcPr>
    </w:tblStylePr>
    <w:tblStylePr w:type="swCell">
      <w:tblPr/>
      <w:tcPr>
        <w:tcBorders>
          <w:top w:val="single" w:sz="4" w:space="0" w:color="95B3D7" w:themeColor="accent1" w:themeTint="99"/>
        </w:tcBorders>
      </w:tcPr>
    </w:tblStylePr>
  </w:style>
  <w:style w:type="table" w:styleId="GridTable7Colorful-Accent2">
    <w:name w:val="Grid Table 7 Colorful Accent 2"/>
    <w:basedOn w:val="TableNormal"/>
    <w:uiPriority w:val="52"/>
    <w:rsid w:val="00167B18"/>
    <w:pPr>
      <w:spacing w:after="0" w:line="240" w:lineRule="auto"/>
    </w:pPr>
    <w:rPr>
      <w:color w:val="943634" w:themeColor="accent2" w:themeShade="BF"/>
    </w:rPr>
    <w:tblPr>
      <w:tblStyleRowBandSize w:val="1"/>
      <w:tblStyleColBandSize w:val="1"/>
      <w:tblBorders>
        <w:top w:val="single" w:sz="4" w:space="0" w:color="D99594" w:themeColor="accent2" w:themeTint="99"/>
        <w:left w:val="single" w:sz="4" w:space="0" w:color="D99594" w:themeColor="accent2" w:themeTint="99"/>
        <w:bottom w:val="single" w:sz="4" w:space="0" w:color="D99594" w:themeColor="accent2" w:themeTint="99"/>
        <w:right w:val="single" w:sz="4" w:space="0" w:color="D99594" w:themeColor="accent2" w:themeTint="99"/>
        <w:insideH w:val="single" w:sz="4" w:space="0" w:color="D99594" w:themeColor="accent2" w:themeTint="99"/>
        <w:insideV w:val="single" w:sz="4" w:space="0" w:color="D99594" w:themeColor="accent2" w:themeTint="99"/>
      </w:tblBorders>
    </w:tblPr>
    <w:tblStylePr w:type="firstRow">
      <w:rPr>
        <w:b/>
        <w:bCs/>
      </w:rPr>
      <w:tblPr/>
      <w:tcPr>
        <w:tcBorders>
          <w:top w:val="nil"/>
          <w:left w:val="nil"/>
          <w:right w:val="nil"/>
          <w:insideH w:val="nil"/>
          <w:insideV w:val="nil"/>
        </w:tcBorders>
        <w:shd w:val="clear" w:color="auto" w:fill="FFFFFF" w:themeFill="background1"/>
      </w:tcPr>
    </w:tblStylePr>
    <w:tblStylePr w:type="lastRow">
      <w:rPr>
        <w:b/>
        <w:bCs/>
      </w:rPr>
      <w:tblPr/>
      <w:tcPr>
        <w:tcBorders>
          <w:left w:val="nil"/>
          <w:bottom w:val="nil"/>
          <w:right w:val="nil"/>
          <w:insideH w:val="nil"/>
          <w:insideV w:val="nil"/>
        </w:tcBorders>
        <w:shd w:val="clear" w:color="auto" w:fill="FFFFFF" w:themeFill="background1"/>
      </w:tcPr>
    </w:tblStylePr>
    <w:tblStylePr w:type="firstCol">
      <w:pPr>
        <w:jc w:val="right"/>
      </w:pPr>
      <w:rPr>
        <w:i/>
        <w:iCs/>
      </w:rPr>
      <w:tblPr/>
      <w:tcPr>
        <w:tcBorders>
          <w:top w:val="nil"/>
          <w:left w:val="nil"/>
          <w:bottom w:val="nil"/>
          <w:insideH w:val="nil"/>
          <w:insideV w:val="nil"/>
        </w:tcBorders>
        <w:shd w:val="clear" w:color="auto" w:fill="FFFFFF" w:themeFill="background1"/>
      </w:tcPr>
    </w:tblStylePr>
    <w:tblStylePr w:type="lastCol">
      <w:rPr>
        <w:i/>
        <w:iCs/>
      </w:rPr>
      <w:tblPr/>
      <w:tcPr>
        <w:tcBorders>
          <w:top w:val="nil"/>
          <w:bottom w:val="nil"/>
          <w:right w:val="nil"/>
          <w:insideH w:val="nil"/>
          <w:insideV w:val="nil"/>
        </w:tcBorders>
        <w:shd w:val="clear" w:color="auto" w:fill="FFFFFF" w:themeFill="background1"/>
      </w:tcPr>
    </w:tblStylePr>
    <w:tblStylePr w:type="band1Vert">
      <w:tblPr/>
      <w:tcPr>
        <w:shd w:val="clear" w:color="auto" w:fill="F2DBDB" w:themeFill="accent2" w:themeFillTint="33"/>
      </w:tcPr>
    </w:tblStylePr>
    <w:tblStylePr w:type="band1Horz">
      <w:tblPr/>
      <w:tcPr>
        <w:shd w:val="clear" w:color="auto" w:fill="F2DBDB" w:themeFill="accent2" w:themeFillTint="33"/>
      </w:tcPr>
    </w:tblStylePr>
    <w:tblStylePr w:type="neCell">
      <w:tblPr/>
      <w:tcPr>
        <w:tcBorders>
          <w:bottom w:val="single" w:sz="4" w:space="0" w:color="D99594" w:themeColor="accent2" w:themeTint="99"/>
        </w:tcBorders>
      </w:tcPr>
    </w:tblStylePr>
    <w:tblStylePr w:type="nwCell">
      <w:tblPr/>
      <w:tcPr>
        <w:tcBorders>
          <w:bottom w:val="single" w:sz="4" w:space="0" w:color="D99594" w:themeColor="accent2" w:themeTint="99"/>
        </w:tcBorders>
      </w:tcPr>
    </w:tblStylePr>
    <w:tblStylePr w:type="seCell">
      <w:tblPr/>
      <w:tcPr>
        <w:tcBorders>
          <w:top w:val="single" w:sz="4" w:space="0" w:color="D99594" w:themeColor="accent2" w:themeTint="99"/>
        </w:tcBorders>
      </w:tcPr>
    </w:tblStylePr>
    <w:tblStylePr w:type="swCell">
      <w:tblPr/>
      <w:tcPr>
        <w:tcBorders>
          <w:top w:val="single" w:sz="4" w:space="0" w:color="D99594" w:themeColor="accent2" w:themeTint="99"/>
        </w:tcBorders>
      </w:tcPr>
    </w:tblStylePr>
  </w:style>
  <w:style w:type="table" w:styleId="GridTable7Colorful-Accent3">
    <w:name w:val="Grid Table 7 Colorful Accent 3"/>
    <w:basedOn w:val="TableNormal"/>
    <w:uiPriority w:val="52"/>
    <w:rsid w:val="00167B18"/>
    <w:pPr>
      <w:spacing w:after="0" w:line="240" w:lineRule="auto"/>
    </w:pPr>
    <w:rPr>
      <w:color w:val="76923C" w:themeColor="accent3" w:themeShade="BF"/>
    </w:rPr>
    <w:tblPr>
      <w:tblStyleRowBandSize w:val="1"/>
      <w:tblStyleColBandSize w:val="1"/>
      <w:tblBorders>
        <w:top w:val="single" w:sz="4" w:space="0" w:color="C2D69B" w:themeColor="accent3" w:themeTint="99"/>
        <w:left w:val="single" w:sz="4" w:space="0" w:color="C2D69B" w:themeColor="accent3" w:themeTint="99"/>
        <w:bottom w:val="single" w:sz="4" w:space="0" w:color="C2D69B" w:themeColor="accent3" w:themeTint="99"/>
        <w:right w:val="single" w:sz="4" w:space="0" w:color="C2D69B" w:themeColor="accent3" w:themeTint="99"/>
        <w:insideH w:val="single" w:sz="4" w:space="0" w:color="C2D69B" w:themeColor="accent3" w:themeTint="99"/>
        <w:insideV w:val="single" w:sz="4" w:space="0" w:color="C2D69B" w:themeColor="accent3" w:themeTint="99"/>
      </w:tblBorders>
    </w:tblPr>
    <w:tblStylePr w:type="firstRow">
      <w:rPr>
        <w:b/>
        <w:bCs/>
      </w:rPr>
      <w:tblPr/>
      <w:tcPr>
        <w:tcBorders>
          <w:top w:val="nil"/>
          <w:left w:val="nil"/>
          <w:right w:val="nil"/>
          <w:insideH w:val="nil"/>
          <w:insideV w:val="nil"/>
        </w:tcBorders>
        <w:shd w:val="clear" w:color="auto" w:fill="FFFFFF" w:themeFill="background1"/>
      </w:tcPr>
    </w:tblStylePr>
    <w:tblStylePr w:type="lastRow">
      <w:rPr>
        <w:b/>
        <w:bCs/>
      </w:rPr>
      <w:tblPr/>
      <w:tcPr>
        <w:tcBorders>
          <w:left w:val="nil"/>
          <w:bottom w:val="nil"/>
          <w:right w:val="nil"/>
          <w:insideH w:val="nil"/>
          <w:insideV w:val="nil"/>
        </w:tcBorders>
        <w:shd w:val="clear" w:color="auto" w:fill="FFFFFF" w:themeFill="background1"/>
      </w:tcPr>
    </w:tblStylePr>
    <w:tblStylePr w:type="firstCol">
      <w:pPr>
        <w:jc w:val="right"/>
      </w:pPr>
      <w:rPr>
        <w:i/>
        <w:iCs/>
      </w:rPr>
      <w:tblPr/>
      <w:tcPr>
        <w:tcBorders>
          <w:top w:val="nil"/>
          <w:left w:val="nil"/>
          <w:bottom w:val="nil"/>
          <w:insideH w:val="nil"/>
          <w:insideV w:val="nil"/>
        </w:tcBorders>
        <w:shd w:val="clear" w:color="auto" w:fill="FFFFFF" w:themeFill="background1"/>
      </w:tcPr>
    </w:tblStylePr>
    <w:tblStylePr w:type="lastCol">
      <w:rPr>
        <w:i/>
        <w:iCs/>
      </w:rPr>
      <w:tblPr/>
      <w:tcPr>
        <w:tcBorders>
          <w:top w:val="nil"/>
          <w:bottom w:val="nil"/>
          <w:right w:val="nil"/>
          <w:insideH w:val="nil"/>
          <w:insideV w:val="nil"/>
        </w:tcBorders>
        <w:shd w:val="clear" w:color="auto" w:fill="FFFFFF" w:themeFill="background1"/>
      </w:tcPr>
    </w:tblStylePr>
    <w:tblStylePr w:type="band1Vert">
      <w:tblPr/>
      <w:tcPr>
        <w:shd w:val="clear" w:color="auto" w:fill="EAF1DD" w:themeFill="accent3" w:themeFillTint="33"/>
      </w:tcPr>
    </w:tblStylePr>
    <w:tblStylePr w:type="band1Horz">
      <w:tblPr/>
      <w:tcPr>
        <w:shd w:val="clear" w:color="auto" w:fill="EAF1DD" w:themeFill="accent3" w:themeFillTint="33"/>
      </w:tcPr>
    </w:tblStylePr>
    <w:tblStylePr w:type="neCell">
      <w:tblPr/>
      <w:tcPr>
        <w:tcBorders>
          <w:bottom w:val="single" w:sz="4" w:space="0" w:color="C2D69B" w:themeColor="accent3" w:themeTint="99"/>
        </w:tcBorders>
      </w:tcPr>
    </w:tblStylePr>
    <w:tblStylePr w:type="nwCell">
      <w:tblPr/>
      <w:tcPr>
        <w:tcBorders>
          <w:bottom w:val="single" w:sz="4" w:space="0" w:color="C2D69B" w:themeColor="accent3" w:themeTint="99"/>
        </w:tcBorders>
      </w:tcPr>
    </w:tblStylePr>
    <w:tblStylePr w:type="seCell">
      <w:tblPr/>
      <w:tcPr>
        <w:tcBorders>
          <w:top w:val="single" w:sz="4" w:space="0" w:color="C2D69B" w:themeColor="accent3" w:themeTint="99"/>
        </w:tcBorders>
      </w:tcPr>
    </w:tblStylePr>
    <w:tblStylePr w:type="swCell">
      <w:tblPr/>
      <w:tcPr>
        <w:tcBorders>
          <w:top w:val="single" w:sz="4" w:space="0" w:color="C2D69B" w:themeColor="accent3" w:themeTint="99"/>
        </w:tcBorders>
      </w:tcPr>
    </w:tblStylePr>
  </w:style>
  <w:style w:type="table" w:styleId="GridTable7Colorful-Accent4">
    <w:name w:val="Grid Table 7 Colorful Accent 4"/>
    <w:basedOn w:val="TableNormal"/>
    <w:uiPriority w:val="52"/>
    <w:rsid w:val="00167B18"/>
    <w:pPr>
      <w:spacing w:after="0" w:line="240" w:lineRule="auto"/>
    </w:pPr>
    <w:rPr>
      <w:color w:val="5F497A" w:themeColor="accent4" w:themeShade="BF"/>
    </w:rPr>
    <w:tblPr>
      <w:tblStyleRowBandSize w:val="1"/>
      <w:tblStyleColBandSize w:val="1"/>
      <w:tblBorders>
        <w:top w:val="single" w:sz="4" w:space="0" w:color="B2A1C7" w:themeColor="accent4" w:themeTint="99"/>
        <w:left w:val="single" w:sz="4" w:space="0" w:color="B2A1C7" w:themeColor="accent4" w:themeTint="99"/>
        <w:bottom w:val="single" w:sz="4" w:space="0" w:color="B2A1C7" w:themeColor="accent4" w:themeTint="99"/>
        <w:right w:val="single" w:sz="4" w:space="0" w:color="B2A1C7" w:themeColor="accent4" w:themeTint="99"/>
        <w:insideH w:val="single" w:sz="4" w:space="0" w:color="B2A1C7" w:themeColor="accent4" w:themeTint="99"/>
        <w:insideV w:val="single" w:sz="4" w:space="0" w:color="B2A1C7" w:themeColor="accent4" w:themeTint="99"/>
      </w:tblBorders>
    </w:tblPr>
    <w:tblStylePr w:type="firstRow">
      <w:rPr>
        <w:b/>
        <w:bCs/>
      </w:rPr>
      <w:tblPr/>
      <w:tcPr>
        <w:tcBorders>
          <w:top w:val="nil"/>
          <w:left w:val="nil"/>
          <w:right w:val="nil"/>
          <w:insideH w:val="nil"/>
          <w:insideV w:val="nil"/>
        </w:tcBorders>
        <w:shd w:val="clear" w:color="auto" w:fill="FFFFFF" w:themeFill="background1"/>
      </w:tcPr>
    </w:tblStylePr>
    <w:tblStylePr w:type="lastRow">
      <w:rPr>
        <w:b/>
        <w:bCs/>
      </w:rPr>
      <w:tblPr/>
      <w:tcPr>
        <w:tcBorders>
          <w:left w:val="nil"/>
          <w:bottom w:val="nil"/>
          <w:right w:val="nil"/>
          <w:insideH w:val="nil"/>
          <w:insideV w:val="nil"/>
        </w:tcBorders>
        <w:shd w:val="clear" w:color="auto" w:fill="FFFFFF" w:themeFill="background1"/>
      </w:tcPr>
    </w:tblStylePr>
    <w:tblStylePr w:type="firstCol">
      <w:pPr>
        <w:jc w:val="right"/>
      </w:pPr>
      <w:rPr>
        <w:i/>
        <w:iCs/>
      </w:rPr>
      <w:tblPr/>
      <w:tcPr>
        <w:tcBorders>
          <w:top w:val="nil"/>
          <w:left w:val="nil"/>
          <w:bottom w:val="nil"/>
          <w:insideH w:val="nil"/>
          <w:insideV w:val="nil"/>
        </w:tcBorders>
        <w:shd w:val="clear" w:color="auto" w:fill="FFFFFF" w:themeFill="background1"/>
      </w:tcPr>
    </w:tblStylePr>
    <w:tblStylePr w:type="lastCol">
      <w:rPr>
        <w:i/>
        <w:iCs/>
      </w:rPr>
      <w:tblPr/>
      <w:tcPr>
        <w:tcBorders>
          <w:top w:val="nil"/>
          <w:bottom w:val="nil"/>
          <w:right w:val="nil"/>
          <w:insideH w:val="nil"/>
          <w:insideV w:val="nil"/>
        </w:tcBorders>
        <w:shd w:val="clear" w:color="auto" w:fill="FFFFFF" w:themeFill="background1"/>
      </w:tcPr>
    </w:tblStylePr>
    <w:tblStylePr w:type="band1Vert">
      <w:tblPr/>
      <w:tcPr>
        <w:shd w:val="clear" w:color="auto" w:fill="E5DFEC" w:themeFill="accent4" w:themeFillTint="33"/>
      </w:tcPr>
    </w:tblStylePr>
    <w:tblStylePr w:type="band1Horz">
      <w:tblPr/>
      <w:tcPr>
        <w:shd w:val="clear" w:color="auto" w:fill="E5DFEC" w:themeFill="accent4" w:themeFillTint="33"/>
      </w:tcPr>
    </w:tblStylePr>
    <w:tblStylePr w:type="neCell">
      <w:tblPr/>
      <w:tcPr>
        <w:tcBorders>
          <w:bottom w:val="single" w:sz="4" w:space="0" w:color="B2A1C7" w:themeColor="accent4" w:themeTint="99"/>
        </w:tcBorders>
      </w:tcPr>
    </w:tblStylePr>
    <w:tblStylePr w:type="nwCell">
      <w:tblPr/>
      <w:tcPr>
        <w:tcBorders>
          <w:bottom w:val="single" w:sz="4" w:space="0" w:color="B2A1C7" w:themeColor="accent4" w:themeTint="99"/>
        </w:tcBorders>
      </w:tcPr>
    </w:tblStylePr>
    <w:tblStylePr w:type="seCell">
      <w:tblPr/>
      <w:tcPr>
        <w:tcBorders>
          <w:top w:val="single" w:sz="4" w:space="0" w:color="B2A1C7" w:themeColor="accent4" w:themeTint="99"/>
        </w:tcBorders>
      </w:tcPr>
    </w:tblStylePr>
    <w:tblStylePr w:type="swCell">
      <w:tblPr/>
      <w:tcPr>
        <w:tcBorders>
          <w:top w:val="single" w:sz="4" w:space="0" w:color="B2A1C7" w:themeColor="accent4" w:themeTint="99"/>
        </w:tcBorders>
      </w:tcPr>
    </w:tblStylePr>
  </w:style>
  <w:style w:type="table" w:styleId="GridTable7Colorful-Accent5">
    <w:name w:val="Grid Table 7 Colorful Accent 5"/>
    <w:basedOn w:val="TableNormal"/>
    <w:uiPriority w:val="52"/>
    <w:rsid w:val="00167B18"/>
    <w:pPr>
      <w:spacing w:after="0" w:line="240" w:lineRule="auto"/>
    </w:pPr>
    <w:rPr>
      <w:color w:val="31849B" w:themeColor="accent5" w:themeShade="BF"/>
    </w:rPr>
    <w:tblPr>
      <w:tblStyleRowBandSize w:val="1"/>
      <w:tblStyleColBandSize w:val="1"/>
      <w:tblBorders>
        <w:top w:val="single" w:sz="4" w:space="0" w:color="92CDDC" w:themeColor="accent5" w:themeTint="99"/>
        <w:left w:val="single" w:sz="4" w:space="0" w:color="92CDDC" w:themeColor="accent5" w:themeTint="99"/>
        <w:bottom w:val="single" w:sz="4" w:space="0" w:color="92CDDC" w:themeColor="accent5" w:themeTint="99"/>
        <w:right w:val="single" w:sz="4" w:space="0" w:color="92CDDC" w:themeColor="accent5" w:themeTint="99"/>
        <w:insideH w:val="single" w:sz="4" w:space="0" w:color="92CDDC" w:themeColor="accent5" w:themeTint="99"/>
        <w:insideV w:val="single" w:sz="4" w:space="0" w:color="92CDDC" w:themeColor="accent5" w:themeTint="99"/>
      </w:tblBorders>
    </w:tblPr>
    <w:tblStylePr w:type="firstRow">
      <w:rPr>
        <w:b/>
        <w:bCs/>
      </w:rPr>
      <w:tblPr/>
      <w:tcPr>
        <w:tcBorders>
          <w:top w:val="nil"/>
          <w:left w:val="nil"/>
          <w:right w:val="nil"/>
          <w:insideH w:val="nil"/>
          <w:insideV w:val="nil"/>
        </w:tcBorders>
        <w:shd w:val="clear" w:color="auto" w:fill="FFFFFF" w:themeFill="background1"/>
      </w:tcPr>
    </w:tblStylePr>
    <w:tblStylePr w:type="lastRow">
      <w:rPr>
        <w:b/>
        <w:bCs/>
      </w:rPr>
      <w:tblPr/>
      <w:tcPr>
        <w:tcBorders>
          <w:left w:val="nil"/>
          <w:bottom w:val="nil"/>
          <w:right w:val="nil"/>
          <w:insideH w:val="nil"/>
          <w:insideV w:val="nil"/>
        </w:tcBorders>
        <w:shd w:val="clear" w:color="auto" w:fill="FFFFFF" w:themeFill="background1"/>
      </w:tcPr>
    </w:tblStylePr>
    <w:tblStylePr w:type="firstCol">
      <w:pPr>
        <w:jc w:val="right"/>
      </w:pPr>
      <w:rPr>
        <w:i/>
        <w:iCs/>
      </w:rPr>
      <w:tblPr/>
      <w:tcPr>
        <w:tcBorders>
          <w:top w:val="nil"/>
          <w:left w:val="nil"/>
          <w:bottom w:val="nil"/>
          <w:insideH w:val="nil"/>
          <w:insideV w:val="nil"/>
        </w:tcBorders>
        <w:shd w:val="clear" w:color="auto" w:fill="FFFFFF" w:themeFill="background1"/>
      </w:tcPr>
    </w:tblStylePr>
    <w:tblStylePr w:type="lastCol">
      <w:rPr>
        <w:i/>
        <w:iCs/>
      </w:rPr>
      <w:tblPr/>
      <w:tcPr>
        <w:tcBorders>
          <w:top w:val="nil"/>
          <w:bottom w:val="nil"/>
          <w:right w:val="nil"/>
          <w:insideH w:val="nil"/>
          <w:insideV w:val="nil"/>
        </w:tcBorders>
        <w:shd w:val="clear" w:color="auto" w:fill="FFFFFF" w:themeFill="background1"/>
      </w:tcPr>
    </w:tblStylePr>
    <w:tblStylePr w:type="band1Vert">
      <w:tblPr/>
      <w:tcPr>
        <w:shd w:val="clear" w:color="auto" w:fill="DAEEF3" w:themeFill="accent5" w:themeFillTint="33"/>
      </w:tcPr>
    </w:tblStylePr>
    <w:tblStylePr w:type="band1Horz">
      <w:tblPr/>
      <w:tcPr>
        <w:shd w:val="clear" w:color="auto" w:fill="DAEEF3" w:themeFill="accent5" w:themeFillTint="33"/>
      </w:tcPr>
    </w:tblStylePr>
    <w:tblStylePr w:type="neCell">
      <w:tblPr/>
      <w:tcPr>
        <w:tcBorders>
          <w:bottom w:val="single" w:sz="4" w:space="0" w:color="92CDDC" w:themeColor="accent5" w:themeTint="99"/>
        </w:tcBorders>
      </w:tcPr>
    </w:tblStylePr>
    <w:tblStylePr w:type="nwCell">
      <w:tblPr/>
      <w:tcPr>
        <w:tcBorders>
          <w:bottom w:val="single" w:sz="4" w:space="0" w:color="92CDDC" w:themeColor="accent5" w:themeTint="99"/>
        </w:tcBorders>
      </w:tcPr>
    </w:tblStylePr>
    <w:tblStylePr w:type="seCell">
      <w:tblPr/>
      <w:tcPr>
        <w:tcBorders>
          <w:top w:val="single" w:sz="4" w:space="0" w:color="92CDDC" w:themeColor="accent5" w:themeTint="99"/>
        </w:tcBorders>
      </w:tcPr>
    </w:tblStylePr>
    <w:tblStylePr w:type="swCell">
      <w:tblPr/>
      <w:tcPr>
        <w:tcBorders>
          <w:top w:val="single" w:sz="4" w:space="0" w:color="92CDDC" w:themeColor="accent5" w:themeTint="99"/>
        </w:tcBorders>
      </w:tcPr>
    </w:tblStylePr>
  </w:style>
  <w:style w:type="table" w:styleId="GridTable7Colorful-Accent6">
    <w:name w:val="Grid Table 7 Colorful Accent 6"/>
    <w:basedOn w:val="TableNormal"/>
    <w:uiPriority w:val="52"/>
    <w:rsid w:val="00167B18"/>
    <w:pPr>
      <w:spacing w:after="0" w:line="240" w:lineRule="auto"/>
    </w:pPr>
    <w:rPr>
      <w:color w:val="E36C0A" w:themeColor="accent6" w:themeShade="BF"/>
    </w:rPr>
    <w:tblPr>
      <w:tblStyleRowBandSize w:val="1"/>
      <w:tblStyleColBandSize w:val="1"/>
      <w:tblBorders>
        <w:top w:val="single" w:sz="4" w:space="0" w:color="FABF8F" w:themeColor="accent6" w:themeTint="99"/>
        <w:left w:val="single" w:sz="4" w:space="0" w:color="FABF8F" w:themeColor="accent6" w:themeTint="99"/>
        <w:bottom w:val="single" w:sz="4" w:space="0" w:color="FABF8F" w:themeColor="accent6" w:themeTint="99"/>
        <w:right w:val="single" w:sz="4" w:space="0" w:color="FABF8F" w:themeColor="accent6" w:themeTint="99"/>
        <w:insideH w:val="single" w:sz="4" w:space="0" w:color="FABF8F" w:themeColor="accent6" w:themeTint="99"/>
        <w:insideV w:val="single" w:sz="4" w:space="0" w:color="FABF8F" w:themeColor="accent6" w:themeTint="99"/>
      </w:tblBorders>
    </w:tblPr>
    <w:tblStylePr w:type="firstRow">
      <w:rPr>
        <w:b/>
        <w:bCs/>
      </w:rPr>
      <w:tblPr/>
      <w:tcPr>
        <w:tcBorders>
          <w:top w:val="nil"/>
          <w:left w:val="nil"/>
          <w:right w:val="nil"/>
          <w:insideH w:val="nil"/>
          <w:insideV w:val="nil"/>
        </w:tcBorders>
        <w:shd w:val="clear" w:color="auto" w:fill="FFFFFF" w:themeFill="background1"/>
      </w:tcPr>
    </w:tblStylePr>
    <w:tblStylePr w:type="lastRow">
      <w:rPr>
        <w:b/>
        <w:bCs/>
      </w:rPr>
      <w:tblPr/>
      <w:tcPr>
        <w:tcBorders>
          <w:left w:val="nil"/>
          <w:bottom w:val="nil"/>
          <w:right w:val="nil"/>
          <w:insideH w:val="nil"/>
          <w:insideV w:val="nil"/>
        </w:tcBorders>
        <w:shd w:val="clear" w:color="auto" w:fill="FFFFFF" w:themeFill="background1"/>
      </w:tcPr>
    </w:tblStylePr>
    <w:tblStylePr w:type="firstCol">
      <w:pPr>
        <w:jc w:val="right"/>
      </w:pPr>
      <w:rPr>
        <w:i/>
        <w:iCs/>
      </w:rPr>
      <w:tblPr/>
      <w:tcPr>
        <w:tcBorders>
          <w:top w:val="nil"/>
          <w:left w:val="nil"/>
          <w:bottom w:val="nil"/>
          <w:insideH w:val="nil"/>
          <w:insideV w:val="nil"/>
        </w:tcBorders>
        <w:shd w:val="clear" w:color="auto" w:fill="FFFFFF" w:themeFill="background1"/>
      </w:tcPr>
    </w:tblStylePr>
    <w:tblStylePr w:type="lastCol">
      <w:rPr>
        <w:i/>
        <w:iCs/>
      </w:rPr>
      <w:tblPr/>
      <w:tcPr>
        <w:tcBorders>
          <w:top w:val="nil"/>
          <w:bottom w:val="nil"/>
          <w:right w:val="nil"/>
          <w:insideH w:val="nil"/>
          <w:insideV w:val="nil"/>
        </w:tcBorders>
        <w:shd w:val="clear" w:color="auto" w:fill="FFFFFF" w:themeFill="background1"/>
      </w:tcPr>
    </w:tblStylePr>
    <w:tblStylePr w:type="band1Vert">
      <w:tblPr/>
      <w:tcPr>
        <w:shd w:val="clear" w:color="auto" w:fill="FDE9D9" w:themeFill="accent6" w:themeFillTint="33"/>
      </w:tcPr>
    </w:tblStylePr>
    <w:tblStylePr w:type="band1Horz">
      <w:tblPr/>
      <w:tcPr>
        <w:shd w:val="clear" w:color="auto" w:fill="FDE9D9" w:themeFill="accent6" w:themeFillTint="33"/>
      </w:tcPr>
    </w:tblStylePr>
    <w:tblStylePr w:type="neCell">
      <w:tblPr/>
      <w:tcPr>
        <w:tcBorders>
          <w:bottom w:val="single" w:sz="4" w:space="0" w:color="FABF8F" w:themeColor="accent6" w:themeTint="99"/>
        </w:tcBorders>
      </w:tcPr>
    </w:tblStylePr>
    <w:tblStylePr w:type="nwCell">
      <w:tblPr/>
      <w:tcPr>
        <w:tcBorders>
          <w:bottom w:val="single" w:sz="4" w:space="0" w:color="FABF8F" w:themeColor="accent6" w:themeTint="99"/>
        </w:tcBorders>
      </w:tcPr>
    </w:tblStylePr>
    <w:tblStylePr w:type="seCell">
      <w:tblPr/>
      <w:tcPr>
        <w:tcBorders>
          <w:top w:val="single" w:sz="4" w:space="0" w:color="FABF8F" w:themeColor="accent6" w:themeTint="99"/>
        </w:tcBorders>
      </w:tcPr>
    </w:tblStylePr>
    <w:tblStylePr w:type="swCell">
      <w:tblPr/>
      <w:tcPr>
        <w:tcBorders>
          <w:top w:val="single" w:sz="4" w:space="0" w:color="FABF8F" w:themeColor="accent6" w:themeTint="99"/>
        </w:tcBorders>
      </w:tcPr>
    </w:tblStylePr>
  </w:style>
  <w:style w:type="paragraph" w:styleId="HTMLAddress">
    <w:name w:val="HTML Address"/>
    <w:basedOn w:val="Normal"/>
    <w:link w:val="HTMLAddressChar"/>
    <w:uiPriority w:val="99"/>
    <w:semiHidden/>
    <w:unhideWhenUsed/>
    <w:rsid w:val="00167B18"/>
    <w:pPr>
      <w:spacing w:after="0"/>
    </w:pPr>
    <w:rPr>
      <w:i/>
      <w:iCs/>
    </w:rPr>
  </w:style>
  <w:style w:type="character" w:customStyle="1" w:styleId="HTMLAddressChar">
    <w:name w:val="HTML Address Char"/>
    <w:basedOn w:val="DefaultParagraphFont"/>
    <w:link w:val="HTMLAddress"/>
    <w:uiPriority w:val="99"/>
    <w:semiHidden/>
    <w:rsid w:val="00167B18"/>
    <w:rPr>
      <w:rFonts w:ascii="Times New Roman" w:eastAsia="Times New Roman" w:hAnsi="Times New Roman" w:cs="Times New Roman"/>
      <w:i/>
      <w:iCs/>
      <w:sz w:val="24"/>
      <w:szCs w:val="24"/>
    </w:rPr>
  </w:style>
  <w:style w:type="paragraph" w:styleId="HTMLPreformatted">
    <w:name w:val="HTML Preformatted"/>
    <w:basedOn w:val="Normal"/>
    <w:link w:val="HTMLPreformattedChar"/>
    <w:uiPriority w:val="99"/>
    <w:semiHidden/>
    <w:unhideWhenUsed/>
    <w:rsid w:val="00167B18"/>
    <w:pPr>
      <w:spacing w:after="0"/>
    </w:pPr>
    <w:rPr>
      <w:rFonts w:ascii="Consolas" w:hAnsi="Consolas"/>
      <w:sz w:val="20"/>
      <w:szCs w:val="20"/>
    </w:rPr>
  </w:style>
  <w:style w:type="character" w:customStyle="1" w:styleId="HTMLPreformattedChar">
    <w:name w:val="HTML Preformatted Char"/>
    <w:basedOn w:val="DefaultParagraphFont"/>
    <w:link w:val="HTMLPreformatted"/>
    <w:uiPriority w:val="99"/>
    <w:semiHidden/>
    <w:rsid w:val="00167B18"/>
    <w:rPr>
      <w:rFonts w:ascii="Consolas" w:eastAsia="Times New Roman" w:hAnsi="Consolas" w:cs="Times New Roman"/>
      <w:sz w:val="20"/>
      <w:szCs w:val="20"/>
    </w:rPr>
  </w:style>
  <w:style w:type="paragraph" w:styleId="Index2">
    <w:name w:val="index 2"/>
    <w:basedOn w:val="Normal"/>
    <w:next w:val="Normal"/>
    <w:autoRedefine/>
    <w:uiPriority w:val="99"/>
    <w:semiHidden/>
    <w:unhideWhenUsed/>
    <w:rsid w:val="00167B18"/>
    <w:pPr>
      <w:spacing w:after="0"/>
      <w:ind w:left="480" w:hanging="240"/>
    </w:pPr>
  </w:style>
  <w:style w:type="paragraph" w:styleId="Index3">
    <w:name w:val="index 3"/>
    <w:basedOn w:val="Normal"/>
    <w:next w:val="Normal"/>
    <w:autoRedefine/>
    <w:uiPriority w:val="99"/>
    <w:semiHidden/>
    <w:unhideWhenUsed/>
    <w:rsid w:val="00167B18"/>
    <w:pPr>
      <w:spacing w:after="0"/>
      <w:ind w:left="720" w:hanging="240"/>
    </w:pPr>
  </w:style>
  <w:style w:type="paragraph" w:styleId="Index4">
    <w:name w:val="index 4"/>
    <w:basedOn w:val="Normal"/>
    <w:next w:val="Normal"/>
    <w:autoRedefine/>
    <w:uiPriority w:val="99"/>
    <w:semiHidden/>
    <w:unhideWhenUsed/>
    <w:rsid w:val="00167B18"/>
    <w:pPr>
      <w:spacing w:after="0"/>
      <w:ind w:left="960" w:hanging="240"/>
    </w:pPr>
  </w:style>
  <w:style w:type="paragraph" w:styleId="Index5">
    <w:name w:val="index 5"/>
    <w:basedOn w:val="Normal"/>
    <w:next w:val="Normal"/>
    <w:autoRedefine/>
    <w:uiPriority w:val="99"/>
    <w:semiHidden/>
    <w:unhideWhenUsed/>
    <w:rsid w:val="00167B18"/>
    <w:pPr>
      <w:spacing w:after="0"/>
      <w:ind w:left="1200" w:hanging="240"/>
    </w:pPr>
  </w:style>
  <w:style w:type="paragraph" w:styleId="Index6">
    <w:name w:val="index 6"/>
    <w:basedOn w:val="Normal"/>
    <w:next w:val="Normal"/>
    <w:autoRedefine/>
    <w:uiPriority w:val="99"/>
    <w:semiHidden/>
    <w:unhideWhenUsed/>
    <w:rsid w:val="00167B18"/>
    <w:pPr>
      <w:spacing w:after="0"/>
      <w:ind w:left="1440" w:hanging="240"/>
    </w:pPr>
  </w:style>
  <w:style w:type="paragraph" w:styleId="Index7">
    <w:name w:val="index 7"/>
    <w:basedOn w:val="Normal"/>
    <w:next w:val="Normal"/>
    <w:autoRedefine/>
    <w:uiPriority w:val="99"/>
    <w:semiHidden/>
    <w:unhideWhenUsed/>
    <w:rsid w:val="00167B18"/>
    <w:pPr>
      <w:spacing w:after="0"/>
      <w:ind w:left="1680" w:hanging="240"/>
    </w:pPr>
  </w:style>
  <w:style w:type="paragraph" w:styleId="Index8">
    <w:name w:val="index 8"/>
    <w:basedOn w:val="Normal"/>
    <w:next w:val="Normal"/>
    <w:autoRedefine/>
    <w:uiPriority w:val="99"/>
    <w:semiHidden/>
    <w:unhideWhenUsed/>
    <w:rsid w:val="00167B18"/>
    <w:pPr>
      <w:spacing w:after="0"/>
      <w:ind w:left="1920" w:hanging="240"/>
    </w:pPr>
  </w:style>
  <w:style w:type="paragraph" w:styleId="Index9">
    <w:name w:val="index 9"/>
    <w:basedOn w:val="Normal"/>
    <w:next w:val="Normal"/>
    <w:autoRedefine/>
    <w:uiPriority w:val="99"/>
    <w:semiHidden/>
    <w:unhideWhenUsed/>
    <w:rsid w:val="00167B18"/>
    <w:pPr>
      <w:spacing w:after="0"/>
      <w:ind w:left="2160" w:hanging="240"/>
    </w:pPr>
  </w:style>
  <w:style w:type="paragraph" w:styleId="IndexHeading">
    <w:name w:val="index heading"/>
    <w:basedOn w:val="Normal"/>
    <w:next w:val="Index1"/>
    <w:uiPriority w:val="99"/>
    <w:semiHidden/>
    <w:unhideWhenUsed/>
    <w:rsid w:val="00167B18"/>
    <w:rPr>
      <w:rFonts w:asciiTheme="majorHAnsi" w:eastAsiaTheme="majorEastAsia" w:hAnsiTheme="majorHAnsi" w:cstheme="majorBidi"/>
      <w:b/>
      <w:bCs/>
    </w:rPr>
  </w:style>
  <w:style w:type="paragraph" w:styleId="IntenseQuote">
    <w:name w:val="Intense Quote"/>
    <w:basedOn w:val="Normal"/>
    <w:next w:val="Normal"/>
    <w:link w:val="IntenseQuoteChar"/>
    <w:uiPriority w:val="30"/>
    <w:qFormat/>
    <w:rsid w:val="00167B18"/>
    <w:pPr>
      <w:pBdr>
        <w:top w:val="single" w:sz="4" w:space="10" w:color="4F81BD" w:themeColor="accent1"/>
        <w:bottom w:val="single" w:sz="4" w:space="10" w:color="4F81BD" w:themeColor="accent1"/>
      </w:pBdr>
      <w:spacing w:before="360" w:after="360"/>
      <w:ind w:left="864" w:right="864"/>
      <w:jc w:val="center"/>
    </w:pPr>
    <w:rPr>
      <w:i/>
      <w:iCs/>
      <w:color w:val="4F81BD" w:themeColor="accent1"/>
    </w:rPr>
  </w:style>
  <w:style w:type="character" w:customStyle="1" w:styleId="IntenseQuoteChar">
    <w:name w:val="Intense Quote Char"/>
    <w:basedOn w:val="DefaultParagraphFont"/>
    <w:link w:val="IntenseQuote"/>
    <w:uiPriority w:val="30"/>
    <w:rsid w:val="00167B18"/>
    <w:rPr>
      <w:rFonts w:ascii="Times New Roman" w:eastAsia="Times New Roman" w:hAnsi="Times New Roman" w:cs="Times New Roman"/>
      <w:i/>
      <w:iCs/>
      <w:color w:val="4F81BD" w:themeColor="accent1"/>
      <w:sz w:val="24"/>
      <w:szCs w:val="24"/>
    </w:rPr>
  </w:style>
  <w:style w:type="table" w:styleId="LightGrid">
    <w:name w:val="Light Grid"/>
    <w:basedOn w:val="TableNormal"/>
    <w:uiPriority w:val="62"/>
    <w:semiHidden/>
    <w:unhideWhenUsed/>
    <w:rsid w:val="00167B18"/>
    <w:pPr>
      <w:spacing w:after="0" w:line="240" w:lineRule="auto"/>
    </w:pPr>
    <w:tblPr>
      <w:tblStyleRowBandSize w:val="1"/>
      <w:tblStyleColBandSize w:val="1"/>
      <w:tblBorders>
        <w:top w:val="single" w:sz="8" w:space="0" w:color="000000" w:themeColor="text1"/>
        <w:left w:val="single" w:sz="8" w:space="0" w:color="000000" w:themeColor="text1"/>
        <w:bottom w:val="single" w:sz="8" w:space="0" w:color="000000" w:themeColor="text1"/>
        <w:right w:val="single" w:sz="8" w:space="0" w:color="000000" w:themeColor="text1"/>
        <w:insideH w:val="single" w:sz="8" w:space="0" w:color="000000" w:themeColor="text1"/>
        <w:insideV w:val="single" w:sz="8" w:space="0" w:color="000000" w:themeColor="text1"/>
      </w:tblBorders>
    </w:tblPr>
    <w:tblStylePr w:type="firstRow">
      <w:pPr>
        <w:spacing w:before="0" w:after="0" w:line="240" w:lineRule="auto"/>
      </w:pPr>
      <w:rPr>
        <w:rFonts w:asciiTheme="majorHAnsi" w:eastAsiaTheme="majorEastAsia" w:hAnsiTheme="majorHAnsi" w:cstheme="majorBidi"/>
        <w:b/>
        <w:bCs/>
      </w:rPr>
      <w:tblPr/>
      <w:tcPr>
        <w:tcBorders>
          <w:top w:val="single" w:sz="8" w:space="0" w:color="000000" w:themeColor="text1"/>
          <w:left w:val="single" w:sz="8" w:space="0" w:color="000000" w:themeColor="text1"/>
          <w:bottom w:val="single" w:sz="18" w:space="0" w:color="000000" w:themeColor="text1"/>
          <w:right w:val="single" w:sz="8" w:space="0" w:color="000000" w:themeColor="text1"/>
          <w:insideH w:val="nil"/>
          <w:insideV w:val="single" w:sz="8" w:space="0" w:color="000000" w:themeColor="text1"/>
        </w:tcBorders>
      </w:tcPr>
    </w:tblStylePr>
    <w:tblStylePr w:type="lastRow">
      <w:pPr>
        <w:spacing w:before="0" w:after="0" w:line="240" w:lineRule="auto"/>
      </w:pPr>
      <w:rPr>
        <w:rFonts w:asciiTheme="majorHAnsi" w:eastAsiaTheme="majorEastAsia" w:hAnsiTheme="majorHAnsi" w:cstheme="majorBidi"/>
        <w:b/>
        <w:bCs/>
      </w:rPr>
      <w:tblPr/>
      <w:tcPr>
        <w:tcBorders>
          <w:top w:val="double" w:sz="6" w:space="0" w:color="000000" w:themeColor="text1"/>
          <w:left w:val="single" w:sz="8" w:space="0" w:color="000000" w:themeColor="text1"/>
          <w:bottom w:val="single" w:sz="8" w:space="0" w:color="000000" w:themeColor="text1"/>
          <w:right w:val="single" w:sz="8" w:space="0" w:color="000000" w:themeColor="text1"/>
          <w:insideH w:val="nil"/>
          <w:insideV w:val="single" w:sz="8" w:space="0" w:color="000000" w:themeColor="text1"/>
        </w:tcBorders>
      </w:tcPr>
    </w:tblStylePr>
    <w:tblStylePr w:type="firstCol">
      <w:rPr>
        <w:rFonts w:asciiTheme="majorHAnsi" w:eastAsiaTheme="majorEastAsia" w:hAnsiTheme="majorHAnsi" w:cstheme="majorBidi"/>
        <w:b/>
        <w:bCs/>
      </w:rPr>
    </w:tblStylePr>
    <w:tblStylePr w:type="lastCol">
      <w:rPr>
        <w:rFonts w:asciiTheme="majorHAnsi" w:eastAsiaTheme="majorEastAsia" w:hAnsiTheme="majorHAnsi" w:cstheme="majorBidi"/>
        <w:b/>
        <w:bCs/>
      </w:rPr>
      <w:tblPr/>
      <w:tcPr>
        <w:tcBorders>
          <w:top w:val="single" w:sz="8" w:space="0" w:color="000000" w:themeColor="text1"/>
          <w:left w:val="single" w:sz="8" w:space="0" w:color="000000" w:themeColor="text1"/>
          <w:bottom w:val="single" w:sz="8" w:space="0" w:color="000000" w:themeColor="text1"/>
          <w:right w:val="single" w:sz="8" w:space="0" w:color="000000" w:themeColor="text1"/>
        </w:tcBorders>
      </w:tcPr>
    </w:tblStylePr>
    <w:tblStylePr w:type="band1Vert">
      <w:tblPr/>
      <w:tcPr>
        <w:tcBorders>
          <w:top w:val="single" w:sz="8" w:space="0" w:color="000000" w:themeColor="text1"/>
          <w:left w:val="single" w:sz="8" w:space="0" w:color="000000" w:themeColor="text1"/>
          <w:bottom w:val="single" w:sz="8" w:space="0" w:color="000000" w:themeColor="text1"/>
          <w:right w:val="single" w:sz="8" w:space="0" w:color="000000" w:themeColor="text1"/>
        </w:tcBorders>
        <w:shd w:val="clear" w:color="auto" w:fill="C0C0C0" w:themeFill="text1" w:themeFillTint="3F"/>
      </w:tcPr>
    </w:tblStylePr>
    <w:tblStylePr w:type="band1Horz">
      <w:tblPr/>
      <w:tcPr>
        <w:tcBorders>
          <w:top w:val="single" w:sz="8" w:space="0" w:color="000000" w:themeColor="text1"/>
          <w:left w:val="single" w:sz="8" w:space="0" w:color="000000" w:themeColor="text1"/>
          <w:bottom w:val="single" w:sz="8" w:space="0" w:color="000000" w:themeColor="text1"/>
          <w:right w:val="single" w:sz="8" w:space="0" w:color="000000" w:themeColor="text1"/>
          <w:insideV w:val="single" w:sz="8" w:space="0" w:color="000000" w:themeColor="text1"/>
        </w:tcBorders>
        <w:shd w:val="clear" w:color="auto" w:fill="C0C0C0" w:themeFill="text1" w:themeFillTint="3F"/>
      </w:tcPr>
    </w:tblStylePr>
    <w:tblStylePr w:type="band2Horz">
      <w:tblPr/>
      <w:tcPr>
        <w:tcBorders>
          <w:top w:val="single" w:sz="8" w:space="0" w:color="000000" w:themeColor="text1"/>
          <w:left w:val="single" w:sz="8" w:space="0" w:color="000000" w:themeColor="text1"/>
          <w:bottom w:val="single" w:sz="8" w:space="0" w:color="000000" w:themeColor="text1"/>
          <w:right w:val="single" w:sz="8" w:space="0" w:color="000000" w:themeColor="text1"/>
          <w:insideV w:val="single" w:sz="8" w:space="0" w:color="000000" w:themeColor="text1"/>
        </w:tcBorders>
      </w:tcPr>
    </w:tblStylePr>
  </w:style>
  <w:style w:type="table" w:styleId="LightGrid-Accent1">
    <w:name w:val="Light Grid Accent 1"/>
    <w:basedOn w:val="TableNormal"/>
    <w:uiPriority w:val="62"/>
    <w:semiHidden/>
    <w:unhideWhenUsed/>
    <w:rsid w:val="00167B18"/>
    <w:pPr>
      <w:spacing w:after="0" w:line="240" w:lineRule="auto"/>
    </w:pPr>
    <w:tblPr>
      <w:tblStyleRowBandSize w:val="1"/>
      <w:tblStyleColBandSize w:val="1"/>
      <w:tblBorders>
        <w:top w:val="single" w:sz="8" w:space="0" w:color="4F81BD" w:themeColor="accent1"/>
        <w:left w:val="single" w:sz="8" w:space="0" w:color="4F81BD" w:themeColor="accent1"/>
        <w:bottom w:val="single" w:sz="8" w:space="0" w:color="4F81BD" w:themeColor="accent1"/>
        <w:right w:val="single" w:sz="8" w:space="0" w:color="4F81BD" w:themeColor="accent1"/>
        <w:insideH w:val="single" w:sz="8" w:space="0" w:color="4F81BD" w:themeColor="accent1"/>
        <w:insideV w:val="single" w:sz="8" w:space="0" w:color="4F81BD" w:themeColor="accent1"/>
      </w:tblBorders>
    </w:tblPr>
    <w:tblStylePr w:type="firstRow">
      <w:pPr>
        <w:spacing w:before="0" w:after="0" w:line="240" w:lineRule="auto"/>
      </w:pPr>
      <w:rPr>
        <w:rFonts w:asciiTheme="majorHAnsi" w:eastAsiaTheme="majorEastAsia" w:hAnsiTheme="majorHAnsi" w:cstheme="majorBidi"/>
        <w:b/>
        <w:bCs/>
      </w:rPr>
      <w:tblPr/>
      <w:tcPr>
        <w:tcBorders>
          <w:top w:val="single" w:sz="8" w:space="0" w:color="4F81BD" w:themeColor="accent1"/>
          <w:left w:val="single" w:sz="8" w:space="0" w:color="4F81BD" w:themeColor="accent1"/>
          <w:bottom w:val="single" w:sz="18" w:space="0" w:color="4F81BD" w:themeColor="accent1"/>
          <w:right w:val="single" w:sz="8" w:space="0" w:color="4F81BD" w:themeColor="accent1"/>
          <w:insideH w:val="nil"/>
          <w:insideV w:val="single" w:sz="8" w:space="0" w:color="4F81BD" w:themeColor="accent1"/>
        </w:tcBorders>
      </w:tcPr>
    </w:tblStylePr>
    <w:tblStylePr w:type="lastRow">
      <w:pPr>
        <w:spacing w:before="0" w:after="0" w:line="240" w:lineRule="auto"/>
      </w:pPr>
      <w:rPr>
        <w:rFonts w:asciiTheme="majorHAnsi" w:eastAsiaTheme="majorEastAsia" w:hAnsiTheme="majorHAnsi" w:cstheme="majorBidi"/>
        <w:b/>
        <w:bCs/>
      </w:rPr>
      <w:tblPr/>
      <w:tcPr>
        <w:tcBorders>
          <w:top w:val="double" w:sz="6" w:space="0" w:color="4F81BD" w:themeColor="accent1"/>
          <w:left w:val="single" w:sz="8" w:space="0" w:color="4F81BD" w:themeColor="accent1"/>
          <w:bottom w:val="single" w:sz="8" w:space="0" w:color="4F81BD" w:themeColor="accent1"/>
          <w:right w:val="single" w:sz="8" w:space="0" w:color="4F81BD" w:themeColor="accent1"/>
          <w:insideH w:val="nil"/>
          <w:insideV w:val="single" w:sz="8" w:space="0" w:color="4F81BD" w:themeColor="accent1"/>
        </w:tcBorders>
      </w:tcPr>
    </w:tblStylePr>
    <w:tblStylePr w:type="firstCol">
      <w:rPr>
        <w:rFonts w:asciiTheme="majorHAnsi" w:eastAsiaTheme="majorEastAsia" w:hAnsiTheme="majorHAnsi" w:cstheme="majorBidi"/>
        <w:b/>
        <w:bCs/>
      </w:rPr>
    </w:tblStylePr>
    <w:tblStylePr w:type="lastCol">
      <w:rPr>
        <w:rFonts w:asciiTheme="majorHAnsi" w:eastAsiaTheme="majorEastAsia" w:hAnsiTheme="majorHAnsi" w:cstheme="majorBidi"/>
        <w:b/>
        <w:bCs/>
      </w:rPr>
      <w:tblPr/>
      <w:tcPr>
        <w:tcBorders>
          <w:top w:val="single" w:sz="8" w:space="0" w:color="4F81BD" w:themeColor="accent1"/>
          <w:left w:val="single" w:sz="8" w:space="0" w:color="4F81BD" w:themeColor="accent1"/>
          <w:bottom w:val="single" w:sz="8" w:space="0" w:color="4F81BD" w:themeColor="accent1"/>
          <w:right w:val="single" w:sz="8" w:space="0" w:color="4F81BD" w:themeColor="accent1"/>
        </w:tcBorders>
      </w:tcPr>
    </w:tblStylePr>
    <w:tblStylePr w:type="band1Vert">
      <w:tblPr/>
      <w:tcPr>
        <w:tcBorders>
          <w:top w:val="single" w:sz="8" w:space="0" w:color="4F81BD" w:themeColor="accent1"/>
          <w:left w:val="single" w:sz="8" w:space="0" w:color="4F81BD" w:themeColor="accent1"/>
          <w:bottom w:val="single" w:sz="8" w:space="0" w:color="4F81BD" w:themeColor="accent1"/>
          <w:right w:val="single" w:sz="8" w:space="0" w:color="4F81BD" w:themeColor="accent1"/>
        </w:tcBorders>
        <w:shd w:val="clear" w:color="auto" w:fill="D3DFEE" w:themeFill="accent1" w:themeFillTint="3F"/>
      </w:tcPr>
    </w:tblStylePr>
    <w:tblStylePr w:type="band1Horz">
      <w:tblPr/>
      <w:tcPr>
        <w:tcBorders>
          <w:top w:val="single" w:sz="8" w:space="0" w:color="4F81BD" w:themeColor="accent1"/>
          <w:left w:val="single" w:sz="8" w:space="0" w:color="4F81BD" w:themeColor="accent1"/>
          <w:bottom w:val="single" w:sz="8" w:space="0" w:color="4F81BD" w:themeColor="accent1"/>
          <w:right w:val="single" w:sz="8" w:space="0" w:color="4F81BD" w:themeColor="accent1"/>
          <w:insideV w:val="single" w:sz="8" w:space="0" w:color="4F81BD" w:themeColor="accent1"/>
        </w:tcBorders>
        <w:shd w:val="clear" w:color="auto" w:fill="D3DFEE" w:themeFill="accent1" w:themeFillTint="3F"/>
      </w:tcPr>
    </w:tblStylePr>
    <w:tblStylePr w:type="band2Horz">
      <w:tblPr/>
      <w:tcPr>
        <w:tcBorders>
          <w:top w:val="single" w:sz="8" w:space="0" w:color="4F81BD" w:themeColor="accent1"/>
          <w:left w:val="single" w:sz="8" w:space="0" w:color="4F81BD" w:themeColor="accent1"/>
          <w:bottom w:val="single" w:sz="8" w:space="0" w:color="4F81BD" w:themeColor="accent1"/>
          <w:right w:val="single" w:sz="8" w:space="0" w:color="4F81BD" w:themeColor="accent1"/>
          <w:insideV w:val="single" w:sz="8" w:space="0" w:color="4F81BD" w:themeColor="accent1"/>
        </w:tcBorders>
      </w:tcPr>
    </w:tblStylePr>
  </w:style>
  <w:style w:type="table" w:styleId="LightGrid-Accent2">
    <w:name w:val="Light Grid Accent 2"/>
    <w:basedOn w:val="TableNormal"/>
    <w:uiPriority w:val="62"/>
    <w:semiHidden/>
    <w:unhideWhenUsed/>
    <w:rsid w:val="00167B18"/>
    <w:pPr>
      <w:spacing w:after="0" w:line="240" w:lineRule="auto"/>
    </w:pPr>
    <w:tblPr>
      <w:tblStyleRowBandSize w:val="1"/>
      <w:tblStyleColBandSize w:val="1"/>
      <w:tblBorders>
        <w:top w:val="single" w:sz="8" w:space="0" w:color="C0504D" w:themeColor="accent2"/>
        <w:left w:val="single" w:sz="8" w:space="0" w:color="C0504D" w:themeColor="accent2"/>
        <w:bottom w:val="single" w:sz="8" w:space="0" w:color="C0504D" w:themeColor="accent2"/>
        <w:right w:val="single" w:sz="8" w:space="0" w:color="C0504D" w:themeColor="accent2"/>
        <w:insideH w:val="single" w:sz="8" w:space="0" w:color="C0504D" w:themeColor="accent2"/>
        <w:insideV w:val="single" w:sz="8" w:space="0" w:color="C0504D" w:themeColor="accent2"/>
      </w:tblBorders>
    </w:tblPr>
    <w:tblStylePr w:type="firstRow">
      <w:pPr>
        <w:spacing w:before="0" w:after="0" w:line="240" w:lineRule="auto"/>
      </w:pPr>
      <w:rPr>
        <w:rFonts w:asciiTheme="majorHAnsi" w:eastAsiaTheme="majorEastAsia" w:hAnsiTheme="majorHAnsi" w:cstheme="majorBidi"/>
        <w:b/>
        <w:bCs/>
      </w:rPr>
      <w:tblPr/>
      <w:tcPr>
        <w:tcBorders>
          <w:top w:val="single" w:sz="8" w:space="0" w:color="C0504D" w:themeColor="accent2"/>
          <w:left w:val="single" w:sz="8" w:space="0" w:color="C0504D" w:themeColor="accent2"/>
          <w:bottom w:val="single" w:sz="18" w:space="0" w:color="C0504D" w:themeColor="accent2"/>
          <w:right w:val="single" w:sz="8" w:space="0" w:color="C0504D" w:themeColor="accent2"/>
          <w:insideH w:val="nil"/>
          <w:insideV w:val="single" w:sz="8" w:space="0" w:color="C0504D" w:themeColor="accent2"/>
        </w:tcBorders>
      </w:tcPr>
    </w:tblStylePr>
    <w:tblStylePr w:type="lastRow">
      <w:pPr>
        <w:spacing w:before="0" w:after="0" w:line="240" w:lineRule="auto"/>
      </w:pPr>
      <w:rPr>
        <w:rFonts w:asciiTheme="majorHAnsi" w:eastAsiaTheme="majorEastAsia" w:hAnsiTheme="majorHAnsi" w:cstheme="majorBidi"/>
        <w:b/>
        <w:bCs/>
      </w:rPr>
      <w:tblPr/>
      <w:tcPr>
        <w:tcBorders>
          <w:top w:val="double" w:sz="6" w:space="0" w:color="C0504D" w:themeColor="accent2"/>
          <w:left w:val="single" w:sz="8" w:space="0" w:color="C0504D" w:themeColor="accent2"/>
          <w:bottom w:val="single" w:sz="8" w:space="0" w:color="C0504D" w:themeColor="accent2"/>
          <w:right w:val="single" w:sz="8" w:space="0" w:color="C0504D" w:themeColor="accent2"/>
          <w:insideH w:val="nil"/>
          <w:insideV w:val="single" w:sz="8" w:space="0" w:color="C0504D" w:themeColor="accent2"/>
        </w:tcBorders>
      </w:tcPr>
    </w:tblStylePr>
    <w:tblStylePr w:type="firstCol">
      <w:rPr>
        <w:rFonts w:asciiTheme="majorHAnsi" w:eastAsiaTheme="majorEastAsia" w:hAnsiTheme="majorHAnsi" w:cstheme="majorBidi"/>
        <w:b/>
        <w:bCs/>
      </w:rPr>
    </w:tblStylePr>
    <w:tblStylePr w:type="lastCol">
      <w:rPr>
        <w:rFonts w:asciiTheme="majorHAnsi" w:eastAsiaTheme="majorEastAsia" w:hAnsiTheme="majorHAnsi" w:cstheme="majorBidi"/>
        <w:b/>
        <w:bCs/>
      </w:rPr>
      <w:tblPr/>
      <w:tcPr>
        <w:tcBorders>
          <w:top w:val="single" w:sz="8" w:space="0" w:color="C0504D" w:themeColor="accent2"/>
          <w:left w:val="single" w:sz="8" w:space="0" w:color="C0504D" w:themeColor="accent2"/>
          <w:bottom w:val="single" w:sz="8" w:space="0" w:color="C0504D" w:themeColor="accent2"/>
          <w:right w:val="single" w:sz="8" w:space="0" w:color="C0504D" w:themeColor="accent2"/>
        </w:tcBorders>
      </w:tcPr>
    </w:tblStylePr>
    <w:tblStylePr w:type="band1Vert">
      <w:tblPr/>
      <w:tcPr>
        <w:tcBorders>
          <w:top w:val="single" w:sz="8" w:space="0" w:color="C0504D" w:themeColor="accent2"/>
          <w:left w:val="single" w:sz="8" w:space="0" w:color="C0504D" w:themeColor="accent2"/>
          <w:bottom w:val="single" w:sz="8" w:space="0" w:color="C0504D" w:themeColor="accent2"/>
          <w:right w:val="single" w:sz="8" w:space="0" w:color="C0504D" w:themeColor="accent2"/>
        </w:tcBorders>
        <w:shd w:val="clear" w:color="auto" w:fill="EFD3D2" w:themeFill="accent2" w:themeFillTint="3F"/>
      </w:tcPr>
    </w:tblStylePr>
    <w:tblStylePr w:type="band1Horz">
      <w:tblPr/>
      <w:tcPr>
        <w:tcBorders>
          <w:top w:val="single" w:sz="8" w:space="0" w:color="C0504D" w:themeColor="accent2"/>
          <w:left w:val="single" w:sz="8" w:space="0" w:color="C0504D" w:themeColor="accent2"/>
          <w:bottom w:val="single" w:sz="8" w:space="0" w:color="C0504D" w:themeColor="accent2"/>
          <w:right w:val="single" w:sz="8" w:space="0" w:color="C0504D" w:themeColor="accent2"/>
          <w:insideV w:val="single" w:sz="8" w:space="0" w:color="C0504D" w:themeColor="accent2"/>
        </w:tcBorders>
        <w:shd w:val="clear" w:color="auto" w:fill="EFD3D2" w:themeFill="accent2" w:themeFillTint="3F"/>
      </w:tcPr>
    </w:tblStylePr>
    <w:tblStylePr w:type="band2Horz">
      <w:tblPr/>
      <w:tcPr>
        <w:tcBorders>
          <w:top w:val="single" w:sz="8" w:space="0" w:color="C0504D" w:themeColor="accent2"/>
          <w:left w:val="single" w:sz="8" w:space="0" w:color="C0504D" w:themeColor="accent2"/>
          <w:bottom w:val="single" w:sz="8" w:space="0" w:color="C0504D" w:themeColor="accent2"/>
          <w:right w:val="single" w:sz="8" w:space="0" w:color="C0504D" w:themeColor="accent2"/>
          <w:insideV w:val="single" w:sz="8" w:space="0" w:color="C0504D" w:themeColor="accent2"/>
        </w:tcBorders>
      </w:tcPr>
    </w:tblStylePr>
  </w:style>
  <w:style w:type="table" w:styleId="LightGrid-Accent3">
    <w:name w:val="Light Grid Accent 3"/>
    <w:basedOn w:val="TableNormal"/>
    <w:uiPriority w:val="62"/>
    <w:semiHidden/>
    <w:unhideWhenUsed/>
    <w:rsid w:val="00167B18"/>
    <w:pPr>
      <w:spacing w:after="0" w:line="240" w:lineRule="auto"/>
    </w:pPr>
    <w:tblPr>
      <w:tblStyleRowBandSize w:val="1"/>
      <w:tblStyleColBandSize w:val="1"/>
      <w:tblBorders>
        <w:top w:val="single" w:sz="8" w:space="0" w:color="9BBB59" w:themeColor="accent3"/>
        <w:left w:val="single" w:sz="8" w:space="0" w:color="9BBB59" w:themeColor="accent3"/>
        <w:bottom w:val="single" w:sz="8" w:space="0" w:color="9BBB59" w:themeColor="accent3"/>
        <w:right w:val="single" w:sz="8" w:space="0" w:color="9BBB59" w:themeColor="accent3"/>
        <w:insideH w:val="single" w:sz="8" w:space="0" w:color="9BBB59" w:themeColor="accent3"/>
        <w:insideV w:val="single" w:sz="8" w:space="0" w:color="9BBB59" w:themeColor="accent3"/>
      </w:tblBorders>
    </w:tblPr>
    <w:tblStylePr w:type="firstRow">
      <w:pPr>
        <w:spacing w:before="0" w:after="0" w:line="240" w:lineRule="auto"/>
      </w:pPr>
      <w:rPr>
        <w:rFonts w:asciiTheme="majorHAnsi" w:eastAsiaTheme="majorEastAsia" w:hAnsiTheme="majorHAnsi" w:cstheme="majorBidi"/>
        <w:b/>
        <w:bCs/>
      </w:rPr>
      <w:tblPr/>
      <w:tcPr>
        <w:tcBorders>
          <w:top w:val="single" w:sz="8" w:space="0" w:color="9BBB59" w:themeColor="accent3"/>
          <w:left w:val="single" w:sz="8" w:space="0" w:color="9BBB59" w:themeColor="accent3"/>
          <w:bottom w:val="single" w:sz="18" w:space="0" w:color="9BBB59" w:themeColor="accent3"/>
          <w:right w:val="single" w:sz="8" w:space="0" w:color="9BBB59" w:themeColor="accent3"/>
          <w:insideH w:val="nil"/>
          <w:insideV w:val="single" w:sz="8" w:space="0" w:color="9BBB59" w:themeColor="accent3"/>
        </w:tcBorders>
      </w:tcPr>
    </w:tblStylePr>
    <w:tblStylePr w:type="lastRow">
      <w:pPr>
        <w:spacing w:before="0" w:after="0" w:line="240" w:lineRule="auto"/>
      </w:pPr>
      <w:rPr>
        <w:rFonts w:asciiTheme="majorHAnsi" w:eastAsiaTheme="majorEastAsia" w:hAnsiTheme="majorHAnsi" w:cstheme="majorBidi"/>
        <w:b/>
        <w:bCs/>
      </w:rPr>
      <w:tblPr/>
      <w:tcPr>
        <w:tcBorders>
          <w:top w:val="double" w:sz="6" w:space="0" w:color="9BBB59" w:themeColor="accent3"/>
          <w:left w:val="single" w:sz="8" w:space="0" w:color="9BBB59" w:themeColor="accent3"/>
          <w:bottom w:val="single" w:sz="8" w:space="0" w:color="9BBB59" w:themeColor="accent3"/>
          <w:right w:val="single" w:sz="8" w:space="0" w:color="9BBB59" w:themeColor="accent3"/>
          <w:insideH w:val="nil"/>
          <w:insideV w:val="single" w:sz="8" w:space="0" w:color="9BBB59" w:themeColor="accent3"/>
        </w:tcBorders>
      </w:tcPr>
    </w:tblStylePr>
    <w:tblStylePr w:type="firstCol">
      <w:rPr>
        <w:rFonts w:asciiTheme="majorHAnsi" w:eastAsiaTheme="majorEastAsia" w:hAnsiTheme="majorHAnsi" w:cstheme="majorBidi"/>
        <w:b/>
        <w:bCs/>
      </w:rPr>
    </w:tblStylePr>
    <w:tblStylePr w:type="lastCol">
      <w:rPr>
        <w:rFonts w:asciiTheme="majorHAnsi" w:eastAsiaTheme="majorEastAsia" w:hAnsiTheme="majorHAnsi" w:cstheme="majorBidi"/>
        <w:b/>
        <w:bCs/>
      </w:rPr>
      <w:tblPr/>
      <w:tcPr>
        <w:tcBorders>
          <w:top w:val="single" w:sz="8" w:space="0" w:color="9BBB59" w:themeColor="accent3"/>
          <w:left w:val="single" w:sz="8" w:space="0" w:color="9BBB59" w:themeColor="accent3"/>
          <w:bottom w:val="single" w:sz="8" w:space="0" w:color="9BBB59" w:themeColor="accent3"/>
          <w:right w:val="single" w:sz="8" w:space="0" w:color="9BBB59" w:themeColor="accent3"/>
        </w:tcBorders>
      </w:tcPr>
    </w:tblStylePr>
    <w:tblStylePr w:type="band1Vert">
      <w:tblPr/>
      <w:tcPr>
        <w:tcBorders>
          <w:top w:val="single" w:sz="8" w:space="0" w:color="9BBB59" w:themeColor="accent3"/>
          <w:left w:val="single" w:sz="8" w:space="0" w:color="9BBB59" w:themeColor="accent3"/>
          <w:bottom w:val="single" w:sz="8" w:space="0" w:color="9BBB59" w:themeColor="accent3"/>
          <w:right w:val="single" w:sz="8" w:space="0" w:color="9BBB59" w:themeColor="accent3"/>
        </w:tcBorders>
        <w:shd w:val="clear" w:color="auto" w:fill="E6EED5" w:themeFill="accent3" w:themeFillTint="3F"/>
      </w:tcPr>
    </w:tblStylePr>
    <w:tblStylePr w:type="band1Horz">
      <w:tblPr/>
      <w:tcPr>
        <w:tcBorders>
          <w:top w:val="single" w:sz="8" w:space="0" w:color="9BBB59" w:themeColor="accent3"/>
          <w:left w:val="single" w:sz="8" w:space="0" w:color="9BBB59" w:themeColor="accent3"/>
          <w:bottom w:val="single" w:sz="8" w:space="0" w:color="9BBB59" w:themeColor="accent3"/>
          <w:right w:val="single" w:sz="8" w:space="0" w:color="9BBB59" w:themeColor="accent3"/>
          <w:insideV w:val="single" w:sz="8" w:space="0" w:color="9BBB59" w:themeColor="accent3"/>
        </w:tcBorders>
        <w:shd w:val="clear" w:color="auto" w:fill="E6EED5" w:themeFill="accent3" w:themeFillTint="3F"/>
      </w:tcPr>
    </w:tblStylePr>
    <w:tblStylePr w:type="band2Horz">
      <w:tblPr/>
      <w:tcPr>
        <w:tcBorders>
          <w:top w:val="single" w:sz="8" w:space="0" w:color="9BBB59" w:themeColor="accent3"/>
          <w:left w:val="single" w:sz="8" w:space="0" w:color="9BBB59" w:themeColor="accent3"/>
          <w:bottom w:val="single" w:sz="8" w:space="0" w:color="9BBB59" w:themeColor="accent3"/>
          <w:right w:val="single" w:sz="8" w:space="0" w:color="9BBB59" w:themeColor="accent3"/>
          <w:insideV w:val="single" w:sz="8" w:space="0" w:color="9BBB59" w:themeColor="accent3"/>
        </w:tcBorders>
      </w:tcPr>
    </w:tblStylePr>
  </w:style>
  <w:style w:type="table" w:styleId="LightGrid-Accent4">
    <w:name w:val="Light Grid Accent 4"/>
    <w:basedOn w:val="TableNormal"/>
    <w:uiPriority w:val="62"/>
    <w:semiHidden/>
    <w:unhideWhenUsed/>
    <w:rsid w:val="00167B18"/>
    <w:pPr>
      <w:spacing w:after="0" w:line="240" w:lineRule="auto"/>
    </w:pPr>
    <w:tblPr>
      <w:tblStyleRowBandSize w:val="1"/>
      <w:tblStyleColBandSize w:val="1"/>
      <w:tblBorders>
        <w:top w:val="single" w:sz="8" w:space="0" w:color="8064A2" w:themeColor="accent4"/>
        <w:left w:val="single" w:sz="8" w:space="0" w:color="8064A2" w:themeColor="accent4"/>
        <w:bottom w:val="single" w:sz="8" w:space="0" w:color="8064A2" w:themeColor="accent4"/>
        <w:right w:val="single" w:sz="8" w:space="0" w:color="8064A2" w:themeColor="accent4"/>
        <w:insideH w:val="single" w:sz="8" w:space="0" w:color="8064A2" w:themeColor="accent4"/>
        <w:insideV w:val="single" w:sz="8" w:space="0" w:color="8064A2" w:themeColor="accent4"/>
      </w:tblBorders>
    </w:tblPr>
    <w:tblStylePr w:type="firstRow">
      <w:pPr>
        <w:spacing w:before="0" w:after="0" w:line="240" w:lineRule="auto"/>
      </w:pPr>
      <w:rPr>
        <w:rFonts w:asciiTheme="majorHAnsi" w:eastAsiaTheme="majorEastAsia" w:hAnsiTheme="majorHAnsi" w:cstheme="majorBidi"/>
        <w:b/>
        <w:bCs/>
      </w:rPr>
      <w:tblPr/>
      <w:tcPr>
        <w:tcBorders>
          <w:top w:val="single" w:sz="8" w:space="0" w:color="8064A2" w:themeColor="accent4"/>
          <w:left w:val="single" w:sz="8" w:space="0" w:color="8064A2" w:themeColor="accent4"/>
          <w:bottom w:val="single" w:sz="18" w:space="0" w:color="8064A2" w:themeColor="accent4"/>
          <w:right w:val="single" w:sz="8" w:space="0" w:color="8064A2" w:themeColor="accent4"/>
          <w:insideH w:val="nil"/>
          <w:insideV w:val="single" w:sz="8" w:space="0" w:color="8064A2" w:themeColor="accent4"/>
        </w:tcBorders>
      </w:tcPr>
    </w:tblStylePr>
    <w:tblStylePr w:type="lastRow">
      <w:pPr>
        <w:spacing w:before="0" w:after="0" w:line="240" w:lineRule="auto"/>
      </w:pPr>
      <w:rPr>
        <w:rFonts w:asciiTheme="majorHAnsi" w:eastAsiaTheme="majorEastAsia" w:hAnsiTheme="majorHAnsi" w:cstheme="majorBidi"/>
        <w:b/>
        <w:bCs/>
      </w:rPr>
      <w:tblPr/>
      <w:tcPr>
        <w:tcBorders>
          <w:top w:val="double" w:sz="6" w:space="0" w:color="8064A2" w:themeColor="accent4"/>
          <w:left w:val="single" w:sz="8" w:space="0" w:color="8064A2" w:themeColor="accent4"/>
          <w:bottom w:val="single" w:sz="8" w:space="0" w:color="8064A2" w:themeColor="accent4"/>
          <w:right w:val="single" w:sz="8" w:space="0" w:color="8064A2" w:themeColor="accent4"/>
          <w:insideH w:val="nil"/>
          <w:insideV w:val="single" w:sz="8" w:space="0" w:color="8064A2" w:themeColor="accent4"/>
        </w:tcBorders>
      </w:tcPr>
    </w:tblStylePr>
    <w:tblStylePr w:type="firstCol">
      <w:rPr>
        <w:rFonts w:asciiTheme="majorHAnsi" w:eastAsiaTheme="majorEastAsia" w:hAnsiTheme="majorHAnsi" w:cstheme="majorBidi"/>
        <w:b/>
        <w:bCs/>
      </w:rPr>
    </w:tblStylePr>
    <w:tblStylePr w:type="lastCol">
      <w:rPr>
        <w:rFonts w:asciiTheme="majorHAnsi" w:eastAsiaTheme="majorEastAsia" w:hAnsiTheme="majorHAnsi" w:cstheme="majorBidi"/>
        <w:b/>
        <w:bCs/>
      </w:rPr>
      <w:tblPr/>
      <w:tcPr>
        <w:tcBorders>
          <w:top w:val="single" w:sz="8" w:space="0" w:color="8064A2" w:themeColor="accent4"/>
          <w:left w:val="single" w:sz="8" w:space="0" w:color="8064A2" w:themeColor="accent4"/>
          <w:bottom w:val="single" w:sz="8" w:space="0" w:color="8064A2" w:themeColor="accent4"/>
          <w:right w:val="single" w:sz="8" w:space="0" w:color="8064A2" w:themeColor="accent4"/>
        </w:tcBorders>
      </w:tcPr>
    </w:tblStylePr>
    <w:tblStylePr w:type="band1Vert">
      <w:tblPr/>
      <w:tcPr>
        <w:tcBorders>
          <w:top w:val="single" w:sz="8" w:space="0" w:color="8064A2" w:themeColor="accent4"/>
          <w:left w:val="single" w:sz="8" w:space="0" w:color="8064A2" w:themeColor="accent4"/>
          <w:bottom w:val="single" w:sz="8" w:space="0" w:color="8064A2" w:themeColor="accent4"/>
          <w:right w:val="single" w:sz="8" w:space="0" w:color="8064A2" w:themeColor="accent4"/>
        </w:tcBorders>
        <w:shd w:val="clear" w:color="auto" w:fill="DFD8E8" w:themeFill="accent4" w:themeFillTint="3F"/>
      </w:tcPr>
    </w:tblStylePr>
    <w:tblStylePr w:type="band1Horz">
      <w:tblPr/>
      <w:tcPr>
        <w:tcBorders>
          <w:top w:val="single" w:sz="8" w:space="0" w:color="8064A2" w:themeColor="accent4"/>
          <w:left w:val="single" w:sz="8" w:space="0" w:color="8064A2" w:themeColor="accent4"/>
          <w:bottom w:val="single" w:sz="8" w:space="0" w:color="8064A2" w:themeColor="accent4"/>
          <w:right w:val="single" w:sz="8" w:space="0" w:color="8064A2" w:themeColor="accent4"/>
          <w:insideV w:val="single" w:sz="8" w:space="0" w:color="8064A2" w:themeColor="accent4"/>
        </w:tcBorders>
        <w:shd w:val="clear" w:color="auto" w:fill="DFD8E8" w:themeFill="accent4" w:themeFillTint="3F"/>
      </w:tcPr>
    </w:tblStylePr>
    <w:tblStylePr w:type="band2Horz">
      <w:tblPr/>
      <w:tcPr>
        <w:tcBorders>
          <w:top w:val="single" w:sz="8" w:space="0" w:color="8064A2" w:themeColor="accent4"/>
          <w:left w:val="single" w:sz="8" w:space="0" w:color="8064A2" w:themeColor="accent4"/>
          <w:bottom w:val="single" w:sz="8" w:space="0" w:color="8064A2" w:themeColor="accent4"/>
          <w:right w:val="single" w:sz="8" w:space="0" w:color="8064A2" w:themeColor="accent4"/>
          <w:insideV w:val="single" w:sz="8" w:space="0" w:color="8064A2" w:themeColor="accent4"/>
        </w:tcBorders>
      </w:tcPr>
    </w:tblStylePr>
  </w:style>
  <w:style w:type="table" w:styleId="LightGrid-Accent5">
    <w:name w:val="Light Grid Accent 5"/>
    <w:basedOn w:val="TableNormal"/>
    <w:uiPriority w:val="62"/>
    <w:semiHidden/>
    <w:unhideWhenUsed/>
    <w:rsid w:val="00167B18"/>
    <w:pPr>
      <w:spacing w:after="0" w:line="240" w:lineRule="auto"/>
    </w:pPr>
    <w:tblPr>
      <w:tblStyleRowBandSize w:val="1"/>
      <w:tblStyleColBandSize w:val="1"/>
      <w:tblBorders>
        <w:top w:val="single" w:sz="8" w:space="0" w:color="4BACC6" w:themeColor="accent5"/>
        <w:left w:val="single" w:sz="8" w:space="0" w:color="4BACC6" w:themeColor="accent5"/>
        <w:bottom w:val="single" w:sz="8" w:space="0" w:color="4BACC6" w:themeColor="accent5"/>
        <w:right w:val="single" w:sz="8" w:space="0" w:color="4BACC6" w:themeColor="accent5"/>
        <w:insideH w:val="single" w:sz="8" w:space="0" w:color="4BACC6" w:themeColor="accent5"/>
        <w:insideV w:val="single" w:sz="8" w:space="0" w:color="4BACC6" w:themeColor="accent5"/>
      </w:tblBorders>
    </w:tblPr>
    <w:tblStylePr w:type="firstRow">
      <w:pPr>
        <w:spacing w:before="0" w:after="0" w:line="240" w:lineRule="auto"/>
      </w:pPr>
      <w:rPr>
        <w:rFonts w:asciiTheme="majorHAnsi" w:eastAsiaTheme="majorEastAsia" w:hAnsiTheme="majorHAnsi" w:cstheme="majorBidi"/>
        <w:b/>
        <w:bCs/>
      </w:rPr>
      <w:tblPr/>
      <w:tcPr>
        <w:tcBorders>
          <w:top w:val="single" w:sz="8" w:space="0" w:color="4BACC6" w:themeColor="accent5"/>
          <w:left w:val="single" w:sz="8" w:space="0" w:color="4BACC6" w:themeColor="accent5"/>
          <w:bottom w:val="single" w:sz="18" w:space="0" w:color="4BACC6" w:themeColor="accent5"/>
          <w:right w:val="single" w:sz="8" w:space="0" w:color="4BACC6" w:themeColor="accent5"/>
          <w:insideH w:val="nil"/>
          <w:insideV w:val="single" w:sz="8" w:space="0" w:color="4BACC6" w:themeColor="accent5"/>
        </w:tcBorders>
      </w:tcPr>
    </w:tblStylePr>
    <w:tblStylePr w:type="lastRow">
      <w:pPr>
        <w:spacing w:before="0" w:after="0" w:line="240" w:lineRule="auto"/>
      </w:pPr>
      <w:rPr>
        <w:rFonts w:asciiTheme="majorHAnsi" w:eastAsiaTheme="majorEastAsia" w:hAnsiTheme="majorHAnsi" w:cstheme="majorBidi"/>
        <w:b/>
        <w:bCs/>
      </w:rPr>
      <w:tblPr/>
      <w:tcPr>
        <w:tcBorders>
          <w:top w:val="double" w:sz="6" w:space="0" w:color="4BACC6" w:themeColor="accent5"/>
          <w:left w:val="single" w:sz="8" w:space="0" w:color="4BACC6" w:themeColor="accent5"/>
          <w:bottom w:val="single" w:sz="8" w:space="0" w:color="4BACC6" w:themeColor="accent5"/>
          <w:right w:val="single" w:sz="8" w:space="0" w:color="4BACC6" w:themeColor="accent5"/>
          <w:insideH w:val="nil"/>
          <w:insideV w:val="single" w:sz="8" w:space="0" w:color="4BACC6" w:themeColor="accent5"/>
        </w:tcBorders>
      </w:tcPr>
    </w:tblStylePr>
    <w:tblStylePr w:type="firstCol">
      <w:rPr>
        <w:rFonts w:asciiTheme="majorHAnsi" w:eastAsiaTheme="majorEastAsia" w:hAnsiTheme="majorHAnsi" w:cstheme="majorBidi"/>
        <w:b/>
        <w:bCs/>
      </w:rPr>
    </w:tblStylePr>
    <w:tblStylePr w:type="lastCol">
      <w:rPr>
        <w:rFonts w:asciiTheme="majorHAnsi" w:eastAsiaTheme="majorEastAsia" w:hAnsiTheme="majorHAnsi" w:cstheme="majorBidi"/>
        <w:b/>
        <w:bCs/>
      </w:rPr>
      <w:tblPr/>
      <w:tcPr>
        <w:tcBorders>
          <w:top w:val="single" w:sz="8" w:space="0" w:color="4BACC6" w:themeColor="accent5"/>
          <w:left w:val="single" w:sz="8" w:space="0" w:color="4BACC6" w:themeColor="accent5"/>
          <w:bottom w:val="single" w:sz="8" w:space="0" w:color="4BACC6" w:themeColor="accent5"/>
          <w:right w:val="single" w:sz="8" w:space="0" w:color="4BACC6" w:themeColor="accent5"/>
        </w:tcBorders>
      </w:tcPr>
    </w:tblStylePr>
    <w:tblStylePr w:type="band1Vert">
      <w:tblPr/>
      <w:tcPr>
        <w:tcBorders>
          <w:top w:val="single" w:sz="8" w:space="0" w:color="4BACC6" w:themeColor="accent5"/>
          <w:left w:val="single" w:sz="8" w:space="0" w:color="4BACC6" w:themeColor="accent5"/>
          <w:bottom w:val="single" w:sz="8" w:space="0" w:color="4BACC6" w:themeColor="accent5"/>
          <w:right w:val="single" w:sz="8" w:space="0" w:color="4BACC6" w:themeColor="accent5"/>
        </w:tcBorders>
        <w:shd w:val="clear" w:color="auto" w:fill="D2EAF1" w:themeFill="accent5" w:themeFillTint="3F"/>
      </w:tcPr>
    </w:tblStylePr>
    <w:tblStylePr w:type="band1Horz">
      <w:tblPr/>
      <w:tcPr>
        <w:tcBorders>
          <w:top w:val="single" w:sz="8" w:space="0" w:color="4BACC6" w:themeColor="accent5"/>
          <w:left w:val="single" w:sz="8" w:space="0" w:color="4BACC6" w:themeColor="accent5"/>
          <w:bottom w:val="single" w:sz="8" w:space="0" w:color="4BACC6" w:themeColor="accent5"/>
          <w:right w:val="single" w:sz="8" w:space="0" w:color="4BACC6" w:themeColor="accent5"/>
          <w:insideV w:val="single" w:sz="8" w:space="0" w:color="4BACC6" w:themeColor="accent5"/>
        </w:tcBorders>
        <w:shd w:val="clear" w:color="auto" w:fill="D2EAF1" w:themeFill="accent5" w:themeFillTint="3F"/>
      </w:tcPr>
    </w:tblStylePr>
    <w:tblStylePr w:type="band2Horz">
      <w:tblPr/>
      <w:tcPr>
        <w:tcBorders>
          <w:top w:val="single" w:sz="8" w:space="0" w:color="4BACC6" w:themeColor="accent5"/>
          <w:left w:val="single" w:sz="8" w:space="0" w:color="4BACC6" w:themeColor="accent5"/>
          <w:bottom w:val="single" w:sz="8" w:space="0" w:color="4BACC6" w:themeColor="accent5"/>
          <w:right w:val="single" w:sz="8" w:space="0" w:color="4BACC6" w:themeColor="accent5"/>
          <w:insideV w:val="single" w:sz="8" w:space="0" w:color="4BACC6" w:themeColor="accent5"/>
        </w:tcBorders>
      </w:tcPr>
    </w:tblStylePr>
  </w:style>
  <w:style w:type="table" w:styleId="LightGrid-Accent6">
    <w:name w:val="Light Grid Accent 6"/>
    <w:basedOn w:val="TableNormal"/>
    <w:uiPriority w:val="62"/>
    <w:semiHidden/>
    <w:unhideWhenUsed/>
    <w:rsid w:val="00167B18"/>
    <w:pPr>
      <w:spacing w:after="0" w:line="240" w:lineRule="auto"/>
    </w:pPr>
    <w:tblPr>
      <w:tblStyleRowBandSize w:val="1"/>
      <w:tblStyleColBandSize w:val="1"/>
      <w:tblBorders>
        <w:top w:val="single" w:sz="8" w:space="0" w:color="F79646" w:themeColor="accent6"/>
        <w:left w:val="single" w:sz="8" w:space="0" w:color="F79646" w:themeColor="accent6"/>
        <w:bottom w:val="single" w:sz="8" w:space="0" w:color="F79646" w:themeColor="accent6"/>
        <w:right w:val="single" w:sz="8" w:space="0" w:color="F79646" w:themeColor="accent6"/>
        <w:insideH w:val="single" w:sz="8" w:space="0" w:color="F79646" w:themeColor="accent6"/>
        <w:insideV w:val="single" w:sz="8" w:space="0" w:color="F79646" w:themeColor="accent6"/>
      </w:tblBorders>
    </w:tblPr>
    <w:tblStylePr w:type="firstRow">
      <w:pPr>
        <w:spacing w:before="0" w:after="0" w:line="240" w:lineRule="auto"/>
      </w:pPr>
      <w:rPr>
        <w:rFonts w:asciiTheme="majorHAnsi" w:eastAsiaTheme="majorEastAsia" w:hAnsiTheme="majorHAnsi" w:cstheme="majorBidi"/>
        <w:b/>
        <w:bCs/>
      </w:rPr>
      <w:tblPr/>
      <w:tcPr>
        <w:tcBorders>
          <w:top w:val="single" w:sz="8" w:space="0" w:color="F79646" w:themeColor="accent6"/>
          <w:left w:val="single" w:sz="8" w:space="0" w:color="F79646" w:themeColor="accent6"/>
          <w:bottom w:val="single" w:sz="18" w:space="0" w:color="F79646" w:themeColor="accent6"/>
          <w:right w:val="single" w:sz="8" w:space="0" w:color="F79646" w:themeColor="accent6"/>
          <w:insideH w:val="nil"/>
          <w:insideV w:val="single" w:sz="8" w:space="0" w:color="F79646" w:themeColor="accent6"/>
        </w:tcBorders>
      </w:tcPr>
    </w:tblStylePr>
    <w:tblStylePr w:type="lastRow">
      <w:pPr>
        <w:spacing w:before="0" w:after="0" w:line="240" w:lineRule="auto"/>
      </w:pPr>
      <w:rPr>
        <w:rFonts w:asciiTheme="majorHAnsi" w:eastAsiaTheme="majorEastAsia" w:hAnsiTheme="majorHAnsi" w:cstheme="majorBidi"/>
        <w:b/>
        <w:bCs/>
      </w:rPr>
      <w:tblPr/>
      <w:tcPr>
        <w:tcBorders>
          <w:top w:val="double" w:sz="6" w:space="0" w:color="F79646" w:themeColor="accent6"/>
          <w:left w:val="single" w:sz="8" w:space="0" w:color="F79646" w:themeColor="accent6"/>
          <w:bottom w:val="single" w:sz="8" w:space="0" w:color="F79646" w:themeColor="accent6"/>
          <w:right w:val="single" w:sz="8" w:space="0" w:color="F79646" w:themeColor="accent6"/>
          <w:insideH w:val="nil"/>
          <w:insideV w:val="single" w:sz="8" w:space="0" w:color="F79646" w:themeColor="accent6"/>
        </w:tcBorders>
      </w:tcPr>
    </w:tblStylePr>
    <w:tblStylePr w:type="firstCol">
      <w:rPr>
        <w:rFonts w:asciiTheme="majorHAnsi" w:eastAsiaTheme="majorEastAsia" w:hAnsiTheme="majorHAnsi" w:cstheme="majorBidi"/>
        <w:b/>
        <w:bCs/>
      </w:rPr>
    </w:tblStylePr>
    <w:tblStylePr w:type="lastCol">
      <w:rPr>
        <w:rFonts w:asciiTheme="majorHAnsi" w:eastAsiaTheme="majorEastAsia" w:hAnsiTheme="majorHAnsi" w:cstheme="majorBidi"/>
        <w:b/>
        <w:bCs/>
      </w:rPr>
      <w:tblPr/>
      <w:tcPr>
        <w:tcBorders>
          <w:top w:val="single" w:sz="8" w:space="0" w:color="F79646" w:themeColor="accent6"/>
          <w:left w:val="single" w:sz="8" w:space="0" w:color="F79646" w:themeColor="accent6"/>
          <w:bottom w:val="single" w:sz="8" w:space="0" w:color="F79646" w:themeColor="accent6"/>
          <w:right w:val="single" w:sz="8" w:space="0" w:color="F79646" w:themeColor="accent6"/>
        </w:tcBorders>
      </w:tcPr>
    </w:tblStylePr>
    <w:tblStylePr w:type="band1Vert">
      <w:tblPr/>
      <w:tcPr>
        <w:tcBorders>
          <w:top w:val="single" w:sz="8" w:space="0" w:color="F79646" w:themeColor="accent6"/>
          <w:left w:val="single" w:sz="8" w:space="0" w:color="F79646" w:themeColor="accent6"/>
          <w:bottom w:val="single" w:sz="8" w:space="0" w:color="F79646" w:themeColor="accent6"/>
          <w:right w:val="single" w:sz="8" w:space="0" w:color="F79646" w:themeColor="accent6"/>
        </w:tcBorders>
        <w:shd w:val="clear" w:color="auto" w:fill="FDE4D0" w:themeFill="accent6" w:themeFillTint="3F"/>
      </w:tcPr>
    </w:tblStylePr>
    <w:tblStylePr w:type="band1Horz">
      <w:tblPr/>
      <w:tcPr>
        <w:tcBorders>
          <w:top w:val="single" w:sz="8" w:space="0" w:color="F79646" w:themeColor="accent6"/>
          <w:left w:val="single" w:sz="8" w:space="0" w:color="F79646" w:themeColor="accent6"/>
          <w:bottom w:val="single" w:sz="8" w:space="0" w:color="F79646" w:themeColor="accent6"/>
          <w:right w:val="single" w:sz="8" w:space="0" w:color="F79646" w:themeColor="accent6"/>
          <w:insideV w:val="single" w:sz="8" w:space="0" w:color="F79646" w:themeColor="accent6"/>
        </w:tcBorders>
        <w:shd w:val="clear" w:color="auto" w:fill="FDE4D0" w:themeFill="accent6" w:themeFillTint="3F"/>
      </w:tcPr>
    </w:tblStylePr>
    <w:tblStylePr w:type="band2Horz">
      <w:tblPr/>
      <w:tcPr>
        <w:tcBorders>
          <w:top w:val="single" w:sz="8" w:space="0" w:color="F79646" w:themeColor="accent6"/>
          <w:left w:val="single" w:sz="8" w:space="0" w:color="F79646" w:themeColor="accent6"/>
          <w:bottom w:val="single" w:sz="8" w:space="0" w:color="F79646" w:themeColor="accent6"/>
          <w:right w:val="single" w:sz="8" w:space="0" w:color="F79646" w:themeColor="accent6"/>
          <w:insideV w:val="single" w:sz="8" w:space="0" w:color="F79646" w:themeColor="accent6"/>
        </w:tcBorders>
      </w:tcPr>
    </w:tblStylePr>
  </w:style>
  <w:style w:type="table" w:styleId="LightList">
    <w:name w:val="Light List"/>
    <w:basedOn w:val="TableNormal"/>
    <w:uiPriority w:val="61"/>
    <w:semiHidden/>
    <w:unhideWhenUsed/>
    <w:rsid w:val="00167B18"/>
    <w:pPr>
      <w:spacing w:after="0" w:line="240" w:lineRule="auto"/>
    </w:pPr>
    <w:tblPr>
      <w:tblStyleRowBandSize w:val="1"/>
      <w:tblStyleColBandSize w:val="1"/>
      <w:tblBorders>
        <w:top w:val="single" w:sz="8" w:space="0" w:color="000000" w:themeColor="text1"/>
        <w:left w:val="single" w:sz="8" w:space="0" w:color="000000" w:themeColor="text1"/>
        <w:bottom w:val="single" w:sz="8" w:space="0" w:color="000000" w:themeColor="text1"/>
        <w:right w:val="single" w:sz="8" w:space="0" w:color="000000" w:themeColor="text1"/>
      </w:tblBorders>
    </w:tblPr>
    <w:tblStylePr w:type="firstRow">
      <w:pPr>
        <w:spacing w:before="0" w:after="0" w:line="240" w:lineRule="auto"/>
      </w:pPr>
      <w:rPr>
        <w:b/>
        <w:bCs/>
        <w:color w:val="FFFFFF" w:themeColor="background1"/>
      </w:rPr>
      <w:tblPr/>
      <w:tcPr>
        <w:shd w:val="clear" w:color="auto" w:fill="000000" w:themeFill="text1"/>
      </w:tcPr>
    </w:tblStylePr>
    <w:tblStylePr w:type="lastRow">
      <w:pPr>
        <w:spacing w:before="0" w:after="0" w:line="240" w:lineRule="auto"/>
      </w:pPr>
      <w:rPr>
        <w:b/>
        <w:bCs/>
      </w:rPr>
      <w:tblPr/>
      <w:tcPr>
        <w:tcBorders>
          <w:top w:val="double" w:sz="6" w:space="0" w:color="000000" w:themeColor="text1"/>
          <w:left w:val="single" w:sz="8" w:space="0" w:color="000000" w:themeColor="text1"/>
          <w:bottom w:val="single" w:sz="8" w:space="0" w:color="000000" w:themeColor="text1"/>
          <w:right w:val="single" w:sz="8" w:space="0" w:color="000000" w:themeColor="text1"/>
        </w:tcBorders>
      </w:tcPr>
    </w:tblStylePr>
    <w:tblStylePr w:type="firstCol">
      <w:rPr>
        <w:b/>
        <w:bCs/>
      </w:rPr>
    </w:tblStylePr>
    <w:tblStylePr w:type="lastCol">
      <w:rPr>
        <w:b/>
        <w:bCs/>
      </w:rPr>
    </w:tblStylePr>
    <w:tblStylePr w:type="band1Vert">
      <w:tblPr/>
      <w:tcPr>
        <w:tcBorders>
          <w:top w:val="single" w:sz="8" w:space="0" w:color="000000" w:themeColor="text1"/>
          <w:left w:val="single" w:sz="8" w:space="0" w:color="000000" w:themeColor="text1"/>
          <w:bottom w:val="single" w:sz="8" w:space="0" w:color="000000" w:themeColor="text1"/>
          <w:right w:val="single" w:sz="8" w:space="0" w:color="000000" w:themeColor="text1"/>
        </w:tcBorders>
      </w:tcPr>
    </w:tblStylePr>
    <w:tblStylePr w:type="band1Horz">
      <w:tblPr/>
      <w:tcPr>
        <w:tcBorders>
          <w:top w:val="single" w:sz="8" w:space="0" w:color="000000" w:themeColor="text1"/>
          <w:left w:val="single" w:sz="8" w:space="0" w:color="000000" w:themeColor="text1"/>
          <w:bottom w:val="single" w:sz="8" w:space="0" w:color="000000" w:themeColor="text1"/>
          <w:right w:val="single" w:sz="8" w:space="0" w:color="000000" w:themeColor="text1"/>
        </w:tcBorders>
      </w:tcPr>
    </w:tblStylePr>
  </w:style>
  <w:style w:type="table" w:styleId="LightList-Accent1">
    <w:name w:val="Light List Accent 1"/>
    <w:basedOn w:val="TableNormal"/>
    <w:uiPriority w:val="61"/>
    <w:semiHidden/>
    <w:unhideWhenUsed/>
    <w:rsid w:val="00167B18"/>
    <w:pPr>
      <w:spacing w:after="0" w:line="240" w:lineRule="auto"/>
    </w:pPr>
    <w:tblPr>
      <w:tblStyleRowBandSize w:val="1"/>
      <w:tblStyleColBandSize w:val="1"/>
      <w:tblBorders>
        <w:top w:val="single" w:sz="8" w:space="0" w:color="4F81BD" w:themeColor="accent1"/>
        <w:left w:val="single" w:sz="8" w:space="0" w:color="4F81BD" w:themeColor="accent1"/>
        <w:bottom w:val="single" w:sz="8" w:space="0" w:color="4F81BD" w:themeColor="accent1"/>
        <w:right w:val="single" w:sz="8" w:space="0" w:color="4F81BD" w:themeColor="accent1"/>
      </w:tblBorders>
    </w:tblPr>
    <w:tblStylePr w:type="firstRow">
      <w:pPr>
        <w:spacing w:before="0" w:after="0" w:line="240" w:lineRule="auto"/>
      </w:pPr>
      <w:rPr>
        <w:b/>
        <w:bCs/>
        <w:color w:val="FFFFFF" w:themeColor="background1"/>
      </w:rPr>
      <w:tblPr/>
      <w:tcPr>
        <w:shd w:val="clear" w:color="auto" w:fill="4F81BD" w:themeFill="accent1"/>
      </w:tcPr>
    </w:tblStylePr>
    <w:tblStylePr w:type="lastRow">
      <w:pPr>
        <w:spacing w:before="0" w:after="0" w:line="240" w:lineRule="auto"/>
      </w:pPr>
      <w:rPr>
        <w:b/>
        <w:bCs/>
      </w:rPr>
      <w:tblPr/>
      <w:tcPr>
        <w:tcBorders>
          <w:top w:val="double" w:sz="6" w:space="0" w:color="4F81BD" w:themeColor="accent1"/>
          <w:left w:val="single" w:sz="8" w:space="0" w:color="4F81BD" w:themeColor="accent1"/>
          <w:bottom w:val="single" w:sz="8" w:space="0" w:color="4F81BD" w:themeColor="accent1"/>
          <w:right w:val="single" w:sz="8" w:space="0" w:color="4F81BD" w:themeColor="accent1"/>
        </w:tcBorders>
      </w:tcPr>
    </w:tblStylePr>
    <w:tblStylePr w:type="firstCol">
      <w:rPr>
        <w:b/>
        <w:bCs/>
      </w:rPr>
    </w:tblStylePr>
    <w:tblStylePr w:type="lastCol">
      <w:rPr>
        <w:b/>
        <w:bCs/>
      </w:rPr>
    </w:tblStylePr>
    <w:tblStylePr w:type="band1Vert">
      <w:tblPr/>
      <w:tcPr>
        <w:tcBorders>
          <w:top w:val="single" w:sz="8" w:space="0" w:color="4F81BD" w:themeColor="accent1"/>
          <w:left w:val="single" w:sz="8" w:space="0" w:color="4F81BD" w:themeColor="accent1"/>
          <w:bottom w:val="single" w:sz="8" w:space="0" w:color="4F81BD" w:themeColor="accent1"/>
          <w:right w:val="single" w:sz="8" w:space="0" w:color="4F81BD" w:themeColor="accent1"/>
        </w:tcBorders>
      </w:tcPr>
    </w:tblStylePr>
    <w:tblStylePr w:type="band1Horz">
      <w:tblPr/>
      <w:tcPr>
        <w:tcBorders>
          <w:top w:val="single" w:sz="8" w:space="0" w:color="4F81BD" w:themeColor="accent1"/>
          <w:left w:val="single" w:sz="8" w:space="0" w:color="4F81BD" w:themeColor="accent1"/>
          <w:bottom w:val="single" w:sz="8" w:space="0" w:color="4F81BD" w:themeColor="accent1"/>
          <w:right w:val="single" w:sz="8" w:space="0" w:color="4F81BD" w:themeColor="accent1"/>
        </w:tcBorders>
      </w:tcPr>
    </w:tblStylePr>
  </w:style>
  <w:style w:type="table" w:styleId="LightList-Accent2">
    <w:name w:val="Light List Accent 2"/>
    <w:basedOn w:val="TableNormal"/>
    <w:uiPriority w:val="61"/>
    <w:semiHidden/>
    <w:unhideWhenUsed/>
    <w:rsid w:val="00167B18"/>
    <w:pPr>
      <w:spacing w:after="0" w:line="240" w:lineRule="auto"/>
    </w:pPr>
    <w:tblPr>
      <w:tblStyleRowBandSize w:val="1"/>
      <w:tblStyleColBandSize w:val="1"/>
      <w:tblBorders>
        <w:top w:val="single" w:sz="8" w:space="0" w:color="C0504D" w:themeColor="accent2"/>
        <w:left w:val="single" w:sz="8" w:space="0" w:color="C0504D" w:themeColor="accent2"/>
        <w:bottom w:val="single" w:sz="8" w:space="0" w:color="C0504D" w:themeColor="accent2"/>
        <w:right w:val="single" w:sz="8" w:space="0" w:color="C0504D" w:themeColor="accent2"/>
      </w:tblBorders>
    </w:tblPr>
    <w:tblStylePr w:type="firstRow">
      <w:pPr>
        <w:spacing w:before="0" w:after="0" w:line="240" w:lineRule="auto"/>
      </w:pPr>
      <w:rPr>
        <w:b/>
        <w:bCs/>
        <w:color w:val="FFFFFF" w:themeColor="background1"/>
      </w:rPr>
      <w:tblPr/>
      <w:tcPr>
        <w:shd w:val="clear" w:color="auto" w:fill="C0504D" w:themeFill="accent2"/>
      </w:tcPr>
    </w:tblStylePr>
    <w:tblStylePr w:type="lastRow">
      <w:pPr>
        <w:spacing w:before="0" w:after="0" w:line="240" w:lineRule="auto"/>
      </w:pPr>
      <w:rPr>
        <w:b/>
        <w:bCs/>
      </w:rPr>
      <w:tblPr/>
      <w:tcPr>
        <w:tcBorders>
          <w:top w:val="double" w:sz="6" w:space="0" w:color="C0504D" w:themeColor="accent2"/>
          <w:left w:val="single" w:sz="8" w:space="0" w:color="C0504D" w:themeColor="accent2"/>
          <w:bottom w:val="single" w:sz="8" w:space="0" w:color="C0504D" w:themeColor="accent2"/>
          <w:right w:val="single" w:sz="8" w:space="0" w:color="C0504D" w:themeColor="accent2"/>
        </w:tcBorders>
      </w:tcPr>
    </w:tblStylePr>
    <w:tblStylePr w:type="firstCol">
      <w:rPr>
        <w:b/>
        <w:bCs/>
      </w:rPr>
    </w:tblStylePr>
    <w:tblStylePr w:type="lastCol">
      <w:rPr>
        <w:b/>
        <w:bCs/>
      </w:rPr>
    </w:tblStylePr>
    <w:tblStylePr w:type="band1Vert">
      <w:tblPr/>
      <w:tcPr>
        <w:tcBorders>
          <w:top w:val="single" w:sz="8" w:space="0" w:color="C0504D" w:themeColor="accent2"/>
          <w:left w:val="single" w:sz="8" w:space="0" w:color="C0504D" w:themeColor="accent2"/>
          <w:bottom w:val="single" w:sz="8" w:space="0" w:color="C0504D" w:themeColor="accent2"/>
          <w:right w:val="single" w:sz="8" w:space="0" w:color="C0504D" w:themeColor="accent2"/>
        </w:tcBorders>
      </w:tcPr>
    </w:tblStylePr>
    <w:tblStylePr w:type="band1Horz">
      <w:tblPr/>
      <w:tcPr>
        <w:tcBorders>
          <w:top w:val="single" w:sz="8" w:space="0" w:color="C0504D" w:themeColor="accent2"/>
          <w:left w:val="single" w:sz="8" w:space="0" w:color="C0504D" w:themeColor="accent2"/>
          <w:bottom w:val="single" w:sz="8" w:space="0" w:color="C0504D" w:themeColor="accent2"/>
          <w:right w:val="single" w:sz="8" w:space="0" w:color="C0504D" w:themeColor="accent2"/>
        </w:tcBorders>
      </w:tcPr>
    </w:tblStylePr>
  </w:style>
  <w:style w:type="table" w:styleId="LightList-Accent3">
    <w:name w:val="Light List Accent 3"/>
    <w:basedOn w:val="TableNormal"/>
    <w:uiPriority w:val="61"/>
    <w:semiHidden/>
    <w:unhideWhenUsed/>
    <w:rsid w:val="00167B18"/>
    <w:pPr>
      <w:spacing w:after="0" w:line="240" w:lineRule="auto"/>
    </w:pPr>
    <w:tblPr>
      <w:tblStyleRowBandSize w:val="1"/>
      <w:tblStyleColBandSize w:val="1"/>
      <w:tblBorders>
        <w:top w:val="single" w:sz="8" w:space="0" w:color="9BBB59" w:themeColor="accent3"/>
        <w:left w:val="single" w:sz="8" w:space="0" w:color="9BBB59" w:themeColor="accent3"/>
        <w:bottom w:val="single" w:sz="8" w:space="0" w:color="9BBB59" w:themeColor="accent3"/>
        <w:right w:val="single" w:sz="8" w:space="0" w:color="9BBB59" w:themeColor="accent3"/>
      </w:tblBorders>
    </w:tblPr>
    <w:tblStylePr w:type="firstRow">
      <w:pPr>
        <w:spacing w:before="0" w:after="0" w:line="240" w:lineRule="auto"/>
      </w:pPr>
      <w:rPr>
        <w:b/>
        <w:bCs/>
        <w:color w:val="FFFFFF" w:themeColor="background1"/>
      </w:rPr>
      <w:tblPr/>
      <w:tcPr>
        <w:shd w:val="clear" w:color="auto" w:fill="9BBB59" w:themeFill="accent3"/>
      </w:tcPr>
    </w:tblStylePr>
    <w:tblStylePr w:type="lastRow">
      <w:pPr>
        <w:spacing w:before="0" w:after="0" w:line="240" w:lineRule="auto"/>
      </w:pPr>
      <w:rPr>
        <w:b/>
        <w:bCs/>
      </w:rPr>
      <w:tblPr/>
      <w:tcPr>
        <w:tcBorders>
          <w:top w:val="double" w:sz="6" w:space="0" w:color="9BBB59" w:themeColor="accent3"/>
          <w:left w:val="single" w:sz="8" w:space="0" w:color="9BBB59" w:themeColor="accent3"/>
          <w:bottom w:val="single" w:sz="8" w:space="0" w:color="9BBB59" w:themeColor="accent3"/>
          <w:right w:val="single" w:sz="8" w:space="0" w:color="9BBB59" w:themeColor="accent3"/>
        </w:tcBorders>
      </w:tcPr>
    </w:tblStylePr>
    <w:tblStylePr w:type="firstCol">
      <w:rPr>
        <w:b/>
        <w:bCs/>
      </w:rPr>
    </w:tblStylePr>
    <w:tblStylePr w:type="lastCol">
      <w:rPr>
        <w:b/>
        <w:bCs/>
      </w:rPr>
    </w:tblStylePr>
    <w:tblStylePr w:type="band1Vert">
      <w:tblPr/>
      <w:tcPr>
        <w:tcBorders>
          <w:top w:val="single" w:sz="8" w:space="0" w:color="9BBB59" w:themeColor="accent3"/>
          <w:left w:val="single" w:sz="8" w:space="0" w:color="9BBB59" w:themeColor="accent3"/>
          <w:bottom w:val="single" w:sz="8" w:space="0" w:color="9BBB59" w:themeColor="accent3"/>
          <w:right w:val="single" w:sz="8" w:space="0" w:color="9BBB59" w:themeColor="accent3"/>
        </w:tcBorders>
      </w:tcPr>
    </w:tblStylePr>
    <w:tblStylePr w:type="band1Horz">
      <w:tblPr/>
      <w:tcPr>
        <w:tcBorders>
          <w:top w:val="single" w:sz="8" w:space="0" w:color="9BBB59" w:themeColor="accent3"/>
          <w:left w:val="single" w:sz="8" w:space="0" w:color="9BBB59" w:themeColor="accent3"/>
          <w:bottom w:val="single" w:sz="8" w:space="0" w:color="9BBB59" w:themeColor="accent3"/>
          <w:right w:val="single" w:sz="8" w:space="0" w:color="9BBB59" w:themeColor="accent3"/>
        </w:tcBorders>
      </w:tcPr>
    </w:tblStylePr>
  </w:style>
  <w:style w:type="table" w:styleId="LightList-Accent4">
    <w:name w:val="Light List Accent 4"/>
    <w:basedOn w:val="TableNormal"/>
    <w:uiPriority w:val="61"/>
    <w:semiHidden/>
    <w:unhideWhenUsed/>
    <w:rsid w:val="00167B18"/>
    <w:pPr>
      <w:spacing w:after="0" w:line="240" w:lineRule="auto"/>
    </w:pPr>
    <w:tblPr>
      <w:tblStyleRowBandSize w:val="1"/>
      <w:tblStyleColBandSize w:val="1"/>
      <w:tblBorders>
        <w:top w:val="single" w:sz="8" w:space="0" w:color="8064A2" w:themeColor="accent4"/>
        <w:left w:val="single" w:sz="8" w:space="0" w:color="8064A2" w:themeColor="accent4"/>
        <w:bottom w:val="single" w:sz="8" w:space="0" w:color="8064A2" w:themeColor="accent4"/>
        <w:right w:val="single" w:sz="8" w:space="0" w:color="8064A2" w:themeColor="accent4"/>
      </w:tblBorders>
    </w:tblPr>
    <w:tblStylePr w:type="firstRow">
      <w:pPr>
        <w:spacing w:before="0" w:after="0" w:line="240" w:lineRule="auto"/>
      </w:pPr>
      <w:rPr>
        <w:b/>
        <w:bCs/>
        <w:color w:val="FFFFFF" w:themeColor="background1"/>
      </w:rPr>
      <w:tblPr/>
      <w:tcPr>
        <w:shd w:val="clear" w:color="auto" w:fill="8064A2" w:themeFill="accent4"/>
      </w:tcPr>
    </w:tblStylePr>
    <w:tblStylePr w:type="lastRow">
      <w:pPr>
        <w:spacing w:before="0" w:after="0" w:line="240" w:lineRule="auto"/>
      </w:pPr>
      <w:rPr>
        <w:b/>
        <w:bCs/>
      </w:rPr>
      <w:tblPr/>
      <w:tcPr>
        <w:tcBorders>
          <w:top w:val="double" w:sz="6" w:space="0" w:color="8064A2" w:themeColor="accent4"/>
          <w:left w:val="single" w:sz="8" w:space="0" w:color="8064A2" w:themeColor="accent4"/>
          <w:bottom w:val="single" w:sz="8" w:space="0" w:color="8064A2" w:themeColor="accent4"/>
          <w:right w:val="single" w:sz="8" w:space="0" w:color="8064A2" w:themeColor="accent4"/>
        </w:tcBorders>
      </w:tcPr>
    </w:tblStylePr>
    <w:tblStylePr w:type="firstCol">
      <w:rPr>
        <w:b/>
        <w:bCs/>
      </w:rPr>
    </w:tblStylePr>
    <w:tblStylePr w:type="lastCol">
      <w:rPr>
        <w:b/>
        <w:bCs/>
      </w:rPr>
    </w:tblStylePr>
    <w:tblStylePr w:type="band1Vert">
      <w:tblPr/>
      <w:tcPr>
        <w:tcBorders>
          <w:top w:val="single" w:sz="8" w:space="0" w:color="8064A2" w:themeColor="accent4"/>
          <w:left w:val="single" w:sz="8" w:space="0" w:color="8064A2" w:themeColor="accent4"/>
          <w:bottom w:val="single" w:sz="8" w:space="0" w:color="8064A2" w:themeColor="accent4"/>
          <w:right w:val="single" w:sz="8" w:space="0" w:color="8064A2" w:themeColor="accent4"/>
        </w:tcBorders>
      </w:tcPr>
    </w:tblStylePr>
    <w:tblStylePr w:type="band1Horz">
      <w:tblPr/>
      <w:tcPr>
        <w:tcBorders>
          <w:top w:val="single" w:sz="8" w:space="0" w:color="8064A2" w:themeColor="accent4"/>
          <w:left w:val="single" w:sz="8" w:space="0" w:color="8064A2" w:themeColor="accent4"/>
          <w:bottom w:val="single" w:sz="8" w:space="0" w:color="8064A2" w:themeColor="accent4"/>
          <w:right w:val="single" w:sz="8" w:space="0" w:color="8064A2" w:themeColor="accent4"/>
        </w:tcBorders>
      </w:tcPr>
    </w:tblStylePr>
  </w:style>
  <w:style w:type="table" w:styleId="LightList-Accent6">
    <w:name w:val="Light List Accent 6"/>
    <w:basedOn w:val="TableNormal"/>
    <w:uiPriority w:val="61"/>
    <w:semiHidden/>
    <w:unhideWhenUsed/>
    <w:rsid w:val="00167B18"/>
    <w:pPr>
      <w:spacing w:after="0" w:line="240" w:lineRule="auto"/>
    </w:pPr>
    <w:tblPr>
      <w:tblStyleRowBandSize w:val="1"/>
      <w:tblStyleColBandSize w:val="1"/>
      <w:tblBorders>
        <w:top w:val="single" w:sz="8" w:space="0" w:color="F79646" w:themeColor="accent6"/>
        <w:left w:val="single" w:sz="8" w:space="0" w:color="F79646" w:themeColor="accent6"/>
        <w:bottom w:val="single" w:sz="8" w:space="0" w:color="F79646" w:themeColor="accent6"/>
        <w:right w:val="single" w:sz="8" w:space="0" w:color="F79646" w:themeColor="accent6"/>
      </w:tblBorders>
    </w:tblPr>
    <w:tblStylePr w:type="firstRow">
      <w:pPr>
        <w:spacing w:before="0" w:after="0" w:line="240" w:lineRule="auto"/>
      </w:pPr>
      <w:rPr>
        <w:b/>
        <w:bCs/>
        <w:color w:val="FFFFFF" w:themeColor="background1"/>
      </w:rPr>
      <w:tblPr/>
      <w:tcPr>
        <w:shd w:val="clear" w:color="auto" w:fill="F79646" w:themeFill="accent6"/>
      </w:tcPr>
    </w:tblStylePr>
    <w:tblStylePr w:type="lastRow">
      <w:pPr>
        <w:spacing w:before="0" w:after="0" w:line="240" w:lineRule="auto"/>
      </w:pPr>
      <w:rPr>
        <w:b/>
        <w:bCs/>
      </w:rPr>
      <w:tblPr/>
      <w:tcPr>
        <w:tcBorders>
          <w:top w:val="double" w:sz="6" w:space="0" w:color="F79646" w:themeColor="accent6"/>
          <w:left w:val="single" w:sz="8" w:space="0" w:color="F79646" w:themeColor="accent6"/>
          <w:bottom w:val="single" w:sz="8" w:space="0" w:color="F79646" w:themeColor="accent6"/>
          <w:right w:val="single" w:sz="8" w:space="0" w:color="F79646" w:themeColor="accent6"/>
        </w:tcBorders>
      </w:tcPr>
    </w:tblStylePr>
    <w:tblStylePr w:type="firstCol">
      <w:rPr>
        <w:b/>
        <w:bCs/>
      </w:rPr>
    </w:tblStylePr>
    <w:tblStylePr w:type="lastCol">
      <w:rPr>
        <w:b/>
        <w:bCs/>
      </w:rPr>
    </w:tblStylePr>
    <w:tblStylePr w:type="band1Vert">
      <w:tblPr/>
      <w:tcPr>
        <w:tcBorders>
          <w:top w:val="single" w:sz="8" w:space="0" w:color="F79646" w:themeColor="accent6"/>
          <w:left w:val="single" w:sz="8" w:space="0" w:color="F79646" w:themeColor="accent6"/>
          <w:bottom w:val="single" w:sz="8" w:space="0" w:color="F79646" w:themeColor="accent6"/>
          <w:right w:val="single" w:sz="8" w:space="0" w:color="F79646" w:themeColor="accent6"/>
        </w:tcBorders>
      </w:tcPr>
    </w:tblStylePr>
    <w:tblStylePr w:type="band1Horz">
      <w:tblPr/>
      <w:tcPr>
        <w:tcBorders>
          <w:top w:val="single" w:sz="8" w:space="0" w:color="F79646" w:themeColor="accent6"/>
          <w:left w:val="single" w:sz="8" w:space="0" w:color="F79646" w:themeColor="accent6"/>
          <w:bottom w:val="single" w:sz="8" w:space="0" w:color="F79646" w:themeColor="accent6"/>
          <w:right w:val="single" w:sz="8" w:space="0" w:color="F79646" w:themeColor="accent6"/>
        </w:tcBorders>
      </w:tcPr>
    </w:tblStylePr>
  </w:style>
  <w:style w:type="table" w:styleId="LightShading">
    <w:name w:val="Light Shading"/>
    <w:basedOn w:val="TableNormal"/>
    <w:uiPriority w:val="60"/>
    <w:semiHidden/>
    <w:unhideWhenUsed/>
    <w:rsid w:val="00167B18"/>
    <w:pPr>
      <w:spacing w:after="0" w:line="240" w:lineRule="auto"/>
    </w:pPr>
    <w:rPr>
      <w:color w:val="000000" w:themeColor="text1" w:themeShade="BF"/>
    </w:rPr>
    <w:tblPr>
      <w:tblStyleRowBandSize w:val="1"/>
      <w:tblStyleColBandSize w:val="1"/>
      <w:tblBorders>
        <w:top w:val="single" w:sz="8" w:space="0" w:color="000000" w:themeColor="text1"/>
        <w:bottom w:val="single" w:sz="8" w:space="0" w:color="000000" w:themeColor="text1"/>
      </w:tblBorders>
    </w:tblPr>
    <w:tblStylePr w:type="firstRow">
      <w:pPr>
        <w:spacing w:before="0" w:after="0" w:line="240" w:lineRule="auto"/>
      </w:pPr>
      <w:rPr>
        <w:b/>
        <w:bCs/>
      </w:rPr>
      <w:tblPr/>
      <w:tcPr>
        <w:tcBorders>
          <w:top w:val="single" w:sz="8" w:space="0" w:color="000000" w:themeColor="text1"/>
          <w:left w:val="nil"/>
          <w:bottom w:val="single" w:sz="8" w:space="0" w:color="000000" w:themeColor="text1"/>
          <w:right w:val="nil"/>
          <w:insideH w:val="nil"/>
          <w:insideV w:val="nil"/>
        </w:tcBorders>
      </w:tcPr>
    </w:tblStylePr>
    <w:tblStylePr w:type="lastRow">
      <w:pPr>
        <w:spacing w:before="0" w:after="0" w:line="240" w:lineRule="auto"/>
      </w:pPr>
      <w:rPr>
        <w:b/>
        <w:bCs/>
      </w:rPr>
      <w:tblPr/>
      <w:tcPr>
        <w:tcBorders>
          <w:top w:val="single" w:sz="8" w:space="0" w:color="000000" w:themeColor="text1"/>
          <w:left w:val="nil"/>
          <w:bottom w:val="single" w:sz="8" w:space="0" w:color="000000" w:themeColor="text1"/>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hemeFill="text1" w:themeFillTint="3F"/>
      </w:tcPr>
    </w:tblStylePr>
    <w:tblStylePr w:type="band1Horz">
      <w:tblPr/>
      <w:tcPr>
        <w:tcBorders>
          <w:left w:val="nil"/>
          <w:right w:val="nil"/>
          <w:insideH w:val="nil"/>
          <w:insideV w:val="nil"/>
        </w:tcBorders>
        <w:shd w:val="clear" w:color="auto" w:fill="C0C0C0" w:themeFill="text1" w:themeFillTint="3F"/>
      </w:tcPr>
    </w:tblStylePr>
  </w:style>
  <w:style w:type="table" w:styleId="LightShading-Accent1">
    <w:name w:val="Light Shading Accent 1"/>
    <w:basedOn w:val="TableNormal"/>
    <w:uiPriority w:val="60"/>
    <w:semiHidden/>
    <w:unhideWhenUsed/>
    <w:rsid w:val="00167B18"/>
    <w:pPr>
      <w:spacing w:after="0" w:line="240" w:lineRule="auto"/>
    </w:pPr>
    <w:rPr>
      <w:color w:val="365F91" w:themeColor="accent1" w:themeShade="BF"/>
    </w:rPr>
    <w:tblPr>
      <w:tblStyleRowBandSize w:val="1"/>
      <w:tblStyleColBandSize w:val="1"/>
      <w:tblBorders>
        <w:top w:val="single" w:sz="8" w:space="0" w:color="4F81BD" w:themeColor="accent1"/>
        <w:bottom w:val="single" w:sz="8" w:space="0" w:color="4F81BD" w:themeColor="accent1"/>
      </w:tblBorders>
    </w:tblPr>
    <w:tblStylePr w:type="firstRow">
      <w:pPr>
        <w:spacing w:before="0" w:after="0" w:line="240" w:lineRule="auto"/>
      </w:pPr>
      <w:rPr>
        <w:b/>
        <w:bCs/>
      </w:rPr>
      <w:tblPr/>
      <w:tcPr>
        <w:tcBorders>
          <w:top w:val="single" w:sz="8" w:space="0" w:color="4F81BD" w:themeColor="accent1"/>
          <w:left w:val="nil"/>
          <w:bottom w:val="single" w:sz="8" w:space="0" w:color="4F81BD" w:themeColor="accent1"/>
          <w:right w:val="nil"/>
          <w:insideH w:val="nil"/>
          <w:insideV w:val="nil"/>
        </w:tcBorders>
      </w:tcPr>
    </w:tblStylePr>
    <w:tblStylePr w:type="lastRow">
      <w:pPr>
        <w:spacing w:before="0" w:after="0" w:line="240" w:lineRule="auto"/>
      </w:pPr>
      <w:rPr>
        <w:b/>
        <w:bCs/>
      </w:rPr>
      <w:tblPr/>
      <w:tcPr>
        <w:tcBorders>
          <w:top w:val="single" w:sz="8" w:space="0" w:color="4F81BD" w:themeColor="accent1"/>
          <w:left w:val="nil"/>
          <w:bottom w:val="single" w:sz="8" w:space="0" w:color="4F81BD" w:themeColor="accent1"/>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3DFEE" w:themeFill="accent1" w:themeFillTint="3F"/>
      </w:tcPr>
    </w:tblStylePr>
    <w:tblStylePr w:type="band1Horz">
      <w:tblPr/>
      <w:tcPr>
        <w:tcBorders>
          <w:left w:val="nil"/>
          <w:right w:val="nil"/>
          <w:insideH w:val="nil"/>
          <w:insideV w:val="nil"/>
        </w:tcBorders>
        <w:shd w:val="clear" w:color="auto" w:fill="D3DFEE" w:themeFill="accent1" w:themeFillTint="3F"/>
      </w:tcPr>
    </w:tblStylePr>
  </w:style>
  <w:style w:type="table" w:styleId="LightShading-Accent2">
    <w:name w:val="Light Shading Accent 2"/>
    <w:basedOn w:val="TableNormal"/>
    <w:uiPriority w:val="60"/>
    <w:semiHidden/>
    <w:unhideWhenUsed/>
    <w:rsid w:val="00167B18"/>
    <w:pPr>
      <w:spacing w:after="0" w:line="240" w:lineRule="auto"/>
    </w:pPr>
    <w:rPr>
      <w:color w:val="943634" w:themeColor="accent2" w:themeShade="BF"/>
    </w:rPr>
    <w:tblPr>
      <w:tblStyleRowBandSize w:val="1"/>
      <w:tblStyleColBandSize w:val="1"/>
      <w:tblBorders>
        <w:top w:val="single" w:sz="8" w:space="0" w:color="C0504D" w:themeColor="accent2"/>
        <w:bottom w:val="single" w:sz="8" w:space="0" w:color="C0504D" w:themeColor="accent2"/>
      </w:tblBorders>
    </w:tblPr>
    <w:tblStylePr w:type="firstRow">
      <w:pPr>
        <w:spacing w:before="0" w:after="0" w:line="240" w:lineRule="auto"/>
      </w:pPr>
      <w:rPr>
        <w:b/>
        <w:bCs/>
      </w:rPr>
      <w:tblPr/>
      <w:tcPr>
        <w:tcBorders>
          <w:top w:val="single" w:sz="8" w:space="0" w:color="C0504D" w:themeColor="accent2"/>
          <w:left w:val="nil"/>
          <w:bottom w:val="single" w:sz="8" w:space="0" w:color="C0504D" w:themeColor="accent2"/>
          <w:right w:val="nil"/>
          <w:insideH w:val="nil"/>
          <w:insideV w:val="nil"/>
        </w:tcBorders>
      </w:tcPr>
    </w:tblStylePr>
    <w:tblStylePr w:type="lastRow">
      <w:pPr>
        <w:spacing w:before="0" w:after="0" w:line="240" w:lineRule="auto"/>
      </w:pPr>
      <w:rPr>
        <w:b/>
        <w:bCs/>
      </w:rPr>
      <w:tblPr/>
      <w:tcPr>
        <w:tcBorders>
          <w:top w:val="single" w:sz="8" w:space="0" w:color="C0504D" w:themeColor="accent2"/>
          <w:left w:val="nil"/>
          <w:bottom w:val="single" w:sz="8" w:space="0" w:color="C0504D" w:themeColor="accent2"/>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EFD3D2" w:themeFill="accent2" w:themeFillTint="3F"/>
      </w:tcPr>
    </w:tblStylePr>
    <w:tblStylePr w:type="band1Horz">
      <w:tblPr/>
      <w:tcPr>
        <w:tcBorders>
          <w:left w:val="nil"/>
          <w:right w:val="nil"/>
          <w:insideH w:val="nil"/>
          <w:insideV w:val="nil"/>
        </w:tcBorders>
        <w:shd w:val="clear" w:color="auto" w:fill="EFD3D2" w:themeFill="accent2" w:themeFillTint="3F"/>
      </w:tcPr>
    </w:tblStylePr>
  </w:style>
  <w:style w:type="table" w:styleId="LightShading-Accent3">
    <w:name w:val="Light Shading Accent 3"/>
    <w:basedOn w:val="TableNormal"/>
    <w:uiPriority w:val="60"/>
    <w:semiHidden/>
    <w:unhideWhenUsed/>
    <w:rsid w:val="00167B18"/>
    <w:pPr>
      <w:spacing w:after="0" w:line="240" w:lineRule="auto"/>
    </w:pPr>
    <w:rPr>
      <w:color w:val="76923C" w:themeColor="accent3" w:themeShade="BF"/>
    </w:rPr>
    <w:tblPr>
      <w:tblStyleRowBandSize w:val="1"/>
      <w:tblStyleColBandSize w:val="1"/>
      <w:tblBorders>
        <w:top w:val="single" w:sz="8" w:space="0" w:color="9BBB59" w:themeColor="accent3"/>
        <w:bottom w:val="single" w:sz="8" w:space="0" w:color="9BBB59" w:themeColor="accent3"/>
      </w:tblBorders>
    </w:tblPr>
    <w:tblStylePr w:type="firstRow">
      <w:pPr>
        <w:spacing w:before="0" w:after="0" w:line="240" w:lineRule="auto"/>
      </w:pPr>
      <w:rPr>
        <w:b/>
        <w:bCs/>
      </w:rPr>
      <w:tblPr/>
      <w:tcPr>
        <w:tcBorders>
          <w:top w:val="single" w:sz="8" w:space="0" w:color="9BBB59" w:themeColor="accent3"/>
          <w:left w:val="nil"/>
          <w:bottom w:val="single" w:sz="8" w:space="0" w:color="9BBB59" w:themeColor="accent3"/>
          <w:right w:val="nil"/>
          <w:insideH w:val="nil"/>
          <w:insideV w:val="nil"/>
        </w:tcBorders>
      </w:tcPr>
    </w:tblStylePr>
    <w:tblStylePr w:type="lastRow">
      <w:pPr>
        <w:spacing w:before="0" w:after="0" w:line="240" w:lineRule="auto"/>
      </w:pPr>
      <w:rPr>
        <w:b/>
        <w:bCs/>
      </w:rPr>
      <w:tblPr/>
      <w:tcPr>
        <w:tcBorders>
          <w:top w:val="single" w:sz="8" w:space="0" w:color="9BBB59" w:themeColor="accent3"/>
          <w:left w:val="nil"/>
          <w:bottom w:val="single" w:sz="8" w:space="0" w:color="9BBB59" w:themeColor="accent3"/>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E6EED5" w:themeFill="accent3" w:themeFillTint="3F"/>
      </w:tcPr>
    </w:tblStylePr>
    <w:tblStylePr w:type="band1Horz">
      <w:tblPr/>
      <w:tcPr>
        <w:tcBorders>
          <w:left w:val="nil"/>
          <w:right w:val="nil"/>
          <w:insideH w:val="nil"/>
          <w:insideV w:val="nil"/>
        </w:tcBorders>
        <w:shd w:val="clear" w:color="auto" w:fill="E6EED5" w:themeFill="accent3" w:themeFillTint="3F"/>
      </w:tcPr>
    </w:tblStylePr>
  </w:style>
  <w:style w:type="table" w:styleId="LightShading-Accent4">
    <w:name w:val="Light Shading Accent 4"/>
    <w:basedOn w:val="TableNormal"/>
    <w:uiPriority w:val="60"/>
    <w:semiHidden/>
    <w:unhideWhenUsed/>
    <w:rsid w:val="00167B18"/>
    <w:pPr>
      <w:spacing w:after="0" w:line="240" w:lineRule="auto"/>
    </w:pPr>
    <w:rPr>
      <w:color w:val="5F497A" w:themeColor="accent4" w:themeShade="BF"/>
    </w:rPr>
    <w:tblPr>
      <w:tblStyleRowBandSize w:val="1"/>
      <w:tblStyleColBandSize w:val="1"/>
      <w:tblBorders>
        <w:top w:val="single" w:sz="8" w:space="0" w:color="8064A2" w:themeColor="accent4"/>
        <w:bottom w:val="single" w:sz="8" w:space="0" w:color="8064A2" w:themeColor="accent4"/>
      </w:tblBorders>
    </w:tblPr>
    <w:tblStylePr w:type="firstRow">
      <w:pPr>
        <w:spacing w:before="0" w:after="0" w:line="240" w:lineRule="auto"/>
      </w:pPr>
      <w:rPr>
        <w:b/>
        <w:bCs/>
      </w:rPr>
      <w:tblPr/>
      <w:tcPr>
        <w:tcBorders>
          <w:top w:val="single" w:sz="8" w:space="0" w:color="8064A2" w:themeColor="accent4"/>
          <w:left w:val="nil"/>
          <w:bottom w:val="single" w:sz="8" w:space="0" w:color="8064A2" w:themeColor="accent4"/>
          <w:right w:val="nil"/>
          <w:insideH w:val="nil"/>
          <w:insideV w:val="nil"/>
        </w:tcBorders>
      </w:tcPr>
    </w:tblStylePr>
    <w:tblStylePr w:type="lastRow">
      <w:pPr>
        <w:spacing w:before="0" w:after="0" w:line="240" w:lineRule="auto"/>
      </w:pPr>
      <w:rPr>
        <w:b/>
        <w:bCs/>
      </w:rPr>
      <w:tblPr/>
      <w:tcPr>
        <w:tcBorders>
          <w:top w:val="single" w:sz="8" w:space="0" w:color="8064A2" w:themeColor="accent4"/>
          <w:left w:val="nil"/>
          <w:bottom w:val="single" w:sz="8" w:space="0" w:color="8064A2" w:themeColor="accent4"/>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FD8E8" w:themeFill="accent4" w:themeFillTint="3F"/>
      </w:tcPr>
    </w:tblStylePr>
    <w:tblStylePr w:type="band1Horz">
      <w:tblPr/>
      <w:tcPr>
        <w:tcBorders>
          <w:left w:val="nil"/>
          <w:right w:val="nil"/>
          <w:insideH w:val="nil"/>
          <w:insideV w:val="nil"/>
        </w:tcBorders>
        <w:shd w:val="clear" w:color="auto" w:fill="DFD8E8" w:themeFill="accent4" w:themeFillTint="3F"/>
      </w:tcPr>
    </w:tblStylePr>
  </w:style>
  <w:style w:type="table" w:styleId="LightShading-Accent6">
    <w:name w:val="Light Shading Accent 6"/>
    <w:basedOn w:val="TableNormal"/>
    <w:uiPriority w:val="60"/>
    <w:semiHidden/>
    <w:unhideWhenUsed/>
    <w:rsid w:val="00167B18"/>
    <w:pPr>
      <w:spacing w:after="0" w:line="240" w:lineRule="auto"/>
    </w:pPr>
    <w:rPr>
      <w:color w:val="E36C0A" w:themeColor="accent6" w:themeShade="BF"/>
    </w:rPr>
    <w:tblPr>
      <w:tblStyleRowBandSize w:val="1"/>
      <w:tblStyleColBandSize w:val="1"/>
      <w:tblBorders>
        <w:top w:val="single" w:sz="8" w:space="0" w:color="F79646" w:themeColor="accent6"/>
        <w:bottom w:val="single" w:sz="8" w:space="0" w:color="F79646" w:themeColor="accent6"/>
      </w:tblBorders>
    </w:tblPr>
    <w:tblStylePr w:type="firstRow">
      <w:pPr>
        <w:spacing w:before="0" w:after="0" w:line="240" w:lineRule="auto"/>
      </w:pPr>
      <w:rPr>
        <w:b/>
        <w:bCs/>
      </w:rPr>
      <w:tblPr/>
      <w:tcPr>
        <w:tcBorders>
          <w:top w:val="single" w:sz="8" w:space="0" w:color="F79646" w:themeColor="accent6"/>
          <w:left w:val="nil"/>
          <w:bottom w:val="single" w:sz="8" w:space="0" w:color="F79646" w:themeColor="accent6"/>
          <w:right w:val="nil"/>
          <w:insideH w:val="nil"/>
          <w:insideV w:val="nil"/>
        </w:tcBorders>
      </w:tcPr>
    </w:tblStylePr>
    <w:tblStylePr w:type="lastRow">
      <w:pPr>
        <w:spacing w:before="0" w:after="0" w:line="240" w:lineRule="auto"/>
      </w:pPr>
      <w:rPr>
        <w:b/>
        <w:bCs/>
      </w:rPr>
      <w:tblPr/>
      <w:tcPr>
        <w:tcBorders>
          <w:top w:val="single" w:sz="8" w:space="0" w:color="F79646" w:themeColor="accent6"/>
          <w:left w:val="nil"/>
          <w:bottom w:val="single" w:sz="8" w:space="0" w:color="F79646" w:themeColor="accent6"/>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FDE4D0" w:themeFill="accent6" w:themeFillTint="3F"/>
      </w:tcPr>
    </w:tblStylePr>
    <w:tblStylePr w:type="band1Horz">
      <w:tblPr/>
      <w:tcPr>
        <w:tcBorders>
          <w:left w:val="nil"/>
          <w:right w:val="nil"/>
          <w:insideH w:val="nil"/>
          <w:insideV w:val="nil"/>
        </w:tcBorders>
        <w:shd w:val="clear" w:color="auto" w:fill="FDE4D0" w:themeFill="accent6" w:themeFillTint="3F"/>
      </w:tcPr>
    </w:tblStylePr>
  </w:style>
  <w:style w:type="paragraph" w:styleId="List">
    <w:name w:val="List"/>
    <w:basedOn w:val="Normal"/>
    <w:uiPriority w:val="99"/>
    <w:semiHidden/>
    <w:unhideWhenUsed/>
    <w:rsid w:val="00167B18"/>
    <w:pPr>
      <w:ind w:left="360" w:hanging="360"/>
      <w:contextualSpacing/>
    </w:pPr>
  </w:style>
  <w:style w:type="paragraph" w:styleId="List2">
    <w:name w:val="List 2"/>
    <w:basedOn w:val="Normal"/>
    <w:uiPriority w:val="99"/>
    <w:semiHidden/>
    <w:unhideWhenUsed/>
    <w:rsid w:val="00167B18"/>
    <w:pPr>
      <w:ind w:left="720" w:hanging="360"/>
      <w:contextualSpacing/>
    </w:pPr>
  </w:style>
  <w:style w:type="paragraph" w:styleId="List3">
    <w:name w:val="List 3"/>
    <w:basedOn w:val="Normal"/>
    <w:uiPriority w:val="99"/>
    <w:semiHidden/>
    <w:unhideWhenUsed/>
    <w:rsid w:val="00167B18"/>
    <w:pPr>
      <w:ind w:left="1080" w:hanging="360"/>
      <w:contextualSpacing/>
    </w:pPr>
  </w:style>
  <w:style w:type="paragraph" w:styleId="List4">
    <w:name w:val="List 4"/>
    <w:basedOn w:val="Normal"/>
    <w:uiPriority w:val="99"/>
    <w:semiHidden/>
    <w:unhideWhenUsed/>
    <w:rsid w:val="00167B18"/>
    <w:pPr>
      <w:ind w:left="1440" w:hanging="360"/>
      <w:contextualSpacing/>
    </w:pPr>
  </w:style>
  <w:style w:type="paragraph" w:styleId="List5">
    <w:name w:val="List 5"/>
    <w:basedOn w:val="Normal"/>
    <w:uiPriority w:val="99"/>
    <w:semiHidden/>
    <w:unhideWhenUsed/>
    <w:rsid w:val="00167B18"/>
    <w:pPr>
      <w:ind w:left="1800" w:hanging="360"/>
      <w:contextualSpacing/>
    </w:pPr>
  </w:style>
  <w:style w:type="paragraph" w:styleId="ListBullet">
    <w:name w:val="List Bullet"/>
    <w:basedOn w:val="Normal"/>
    <w:uiPriority w:val="99"/>
    <w:semiHidden/>
    <w:unhideWhenUsed/>
    <w:rsid w:val="00167B18"/>
    <w:pPr>
      <w:numPr>
        <w:numId w:val="21"/>
      </w:numPr>
      <w:contextualSpacing/>
    </w:pPr>
  </w:style>
  <w:style w:type="paragraph" w:styleId="ListBullet2">
    <w:name w:val="List Bullet 2"/>
    <w:basedOn w:val="Normal"/>
    <w:uiPriority w:val="99"/>
    <w:semiHidden/>
    <w:unhideWhenUsed/>
    <w:rsid w:val="00167B18"/>
    <w:pPr>
      <w:numPr>
        <w:numId w:val="22"/>
      </w:numPr>
      <w:contextualSpacing/>
    </w:pPr>
  </w:style>
  <w:style w:type="paragraph" w:styleId="ListBullet3">
    <w:name w:val="List Bullet 3"/>
    <w:basedOn w:val="Normal"/>
    <w:uiPriority w:val="99"/>
    <w:semiHidden/>
    <w:unhideWhenUsed/>
    <w:rsid w:val="00167B18"/>
    <w:pPr>
      <w:numPr>
        <w:numId w:val="23"/>
      </w:numPr>
      <w:contextualSpacing/>
    </w:pPr>
  </w:style>
  <w:style w:type="paragraph" w:styleId="ListBullet4">
    <w:name w:val="List Bullet 4"/>
    <w:basedOn w:val="Normal"/>
    <w:uiPriority w:val="99"/>
    <w:semiHidden/>
    <w:unhideWhenUsed/>
    <w:rsid w:val="00167B18"/>
    <w:pPr>
      <w:numPr>
        <w:numId w:val="24"/>
      </w:numPr>
      <w:contextualSpacing/>
    </w:pPr>
  </w:style>
  <w:style w:type="paragraph" w:styleId="ListBullet5">
    <w:name w:val="List Bullet 5"/>
    <w:basedOn w:val="Normal"/>
    <w:uiPriority w:val="99"/>
    <w:semiHidden/>
    <w:unhideWhenUsed/>
    <w:rsid w:val="00167B18"/>
    <w:pPr>
      <w:numPr>
        <w:numId w:val="25"/>
      </w:numPr>
      <w:contextualSpacing/>
    </w:pPr>
  </w:style>
  <w:style w:type="paragraph" w:styleId="ListContinue">
    <w:name w:val="List Continue"/>
    <w:basedOn w:val="Normal"/>
    <w:uiPriority w:val="99"/>
    <w:semiHidden/>
    <w:unhideWhenUsed/>
    <w:rsid w:val="00167B18"/>
    <w:pPr>
      <w:spacing w:after="120"/>
      <w:ind w:left="360"/>
      <w:contextualSpacing/>
    </w:pPr>
  </w:style>
  <w:style w:type="paragraph" w:styleId="ListContinue2">
    <w:name w:val="List Continue 2"/>
    <w:basedOn w:val="Normal"/>
    <w:uiPriority w:val="99"/>
    <w:semiHidden/>
    <w:unhideWhenUsed/>
    <w:rsid w:val="00167B18"/>
    <w:pPr>
      <w:spacing w:after="120"/>
      <w:ind w:left="720"/>
      <w:contextualSpacing/>
    </w:pPr>
  </w:style>
  <w:style w:type="paragraph" w:styleId="ListContinue3">
    <w:name w:val="List Continue 3"/>
    <w:basedOn w:val="Normal"/>
    <w:uiPriority w:val="99"/>
    <w:semiHidden/>
    <w:unhideWhenUsed/>
    <w:rsid w:val="00167B18"/>
    <w:pPr>
      <w:spacing w:after="120"/>
      <w:ind w:left="1080"/>
      <w:contextualSpacing/>
    </w:pPr>
  </w:style>
  <w:style w:type="paragraph" w:styleId="ListContinue4">
    <w:name w:val="List Continue 4"/>
    <w:basedOn w:val="Normal"/>
    <w:uiPriority w:val="99"/>
    <w:semiHidden/>
    <w:unhideWhenUsed/>
    <w:rsid w:val="00167B18"/>
    <w:pPr>
      <w:spacing w:after="120"/>
      <w:ind w:left="1440"/>
      <w:contextualSpacing/>
    </w:pPr>
  </w:style>
  <w:style w:type="paragraph" w:styleId="ListContinue5">
    <w:name w:val="List Continue 5"/>
    <w:basedOn w:val="Normal"/>
    <w:uiPriority w:val="99"/>
    <w:semiHidden/>
    <w:unhideWhenUsed/>
    <w:rsid w:val="00167B18"/>
    <w:pPr>
      <w:spacing w:after="120"/>
      <w:ind w:left="1800"/>
      <w:contextualSpacing/>
    </w:pPr>
  </w:style>
  <w:style w:type="paragraph" w:styleId="ListNumber">
    <w:name w:val="List Number"/>
    <w:basedOn w:val="Normal"/>
    <w:uiPriority w:val="99"/>
    <w:semiHidden/>
    <w:unhideWhenUsed/>
    <w:rsid w:val="00167B18"/>
    <w:pPr>
      <w:numPr>
        <w:numId w:val="26"/>
      </w:numPr>
      <w:contextualSpacing/>
    </w:pPr>
  </w:style>
  <w:style w:type="paragraph" w:styleId="ListNumber2">
    <w:name w:val="List Number 2"/>
    <w:basedOn w:val="Normal"/>
    <w:uiPriority w:val="99"/>
    <w:semiHidden/>
    <w:unhideWhenUsed/>
    <w:rsid w:val="00167B18"/>
    <w:pPr>
      <w:numPr>
        <w:numId w:val="27"/>
      </w:numPr>
      <w:contextualSpacing/>
    </w:pPr>
  </w:style>
  <w:style w:type="paragraph" w:styleId="ListNumber3">
    <w:name w:val="List Number 3"/>
    <w:basedOn w:val="Normal"/>
    <w:uiPriority w:val="99"/>
    <w:semiHidden/>
    <w:unhideWhenUsed/>
    <w:rsid w:val="00167B18"/>
    <w:pPr>
      <w:numPr>
        <w:numId w:val="28"/>
      </w:numPr>
      <w:contextualSpacing/>
    </w:pPr>
  </w:style>
  <w:style w:type="paragraph" w:styleId="ListNumber4">
    <w:name w:val="List Number 4"/>
    <w:basedOn w:val="Normal"/>
    <w:uiPriority w:val="99"/>
    <w:semiHidden/>
    <w:unhideWhenUsed/>
    <w:rsid w:val="00167B18"/>
    <w:pPr>
      <w:numPr>
        <w:numId w:val="29"/>
      </w:numPr>
      <w:contextualSpacing/>
    </w:pPr>
  </w:style>
  <w:style w:type="paragraph" w:styleId="ListNumber5">
    <w:name w:val="List Number 5"/>
    <w:basedOn w:val="Normal"/>
    <w:uiPriority w:val="99"/>
    <w:semiHidden/>
    <w:unhideWhenUsed/>
    <w:rsid w:val="00167B18"/>
    <w:pPr>
      <w:numPr>
        <w:numId w:val="30"/>
      </w:numPr>
      <w:contextualSpacing/>
    </w:pPr>
  </w:style>
  <w:style w:type="table" w:styleId="ListTable1Light">
    <w:name w:val="List Table 1 Light"/>
    <w:basedOn w:val="TableNormal"/>
    <w:uiPriority w:val="46"/>
    <w:rsid w:val="00167B18"/>
    <w:pPr>
      <w:spacing w:after="0" w:line="240" w:lineRule="auto"/>
    </w:pPr>
    <w:tblPr>
      <w:tblStyleRowBandSize w:val="1"/>
      <w:tblStyleColBandSize w:val="1"/>
    </w:tblPr>
    <w:tblStylePr w:type="firstRow">
      <w:rPr>
        <w:b/>
        <w:bCs/>
      </w:rPr>
      <w:tblPr/>
      <w:tcPr>
        <w:tcBorders>
          <w:bottom w:val="single" w:sz="4" w:space="0" w:color="666666" w:themeColor="text1" w:themeTint="99"/>
        </w:tcBorders>
      </w:tcPr>
    </w:tblStylePr>
    <w:tblStylePr w:type="lastRow">
      <w:rPr>
        <w:b/>
        <w:bCs/>
      </w:rPr>
      <w:tblPr/>
      <w:tcPr>
        <w:tcBorders>
          <w:top w:val="single" w:sz="4" w:space="0" w:color="666666" w:themeColor="text1" w:themeTint="99"/>
        </w:tcBorders>
      </w:tcPr>
    </w:tblStylePr>
    <w:tblStylePr w:type="firstCol">
      <w:rPr>
        <w:b/>
        <w:bCs/>
      </w:rPr>
    </w:tblStylePr>
    <w:tblStylePr w:type="lastCol">
      <w:rPr>
        <w:b/>
        <w:bCs/>
      </w:rPr>
    </w:tblStylePr>
    <w:tblStylePr w:type="band1Vert">
      <w:tblPr/>
      <w:tcPr>
        <w:shd w:val="clear" w:color="auto" w:fill="CCCCCC" w:themeFill="text1" w:themeFillTint="33"/>
      </w:tcPr>
    </w:tblStylePr>
    <w:tblStylePr w:type="band1Horz">
      <w:tblPr/>
      <w:tcPr>
        <w:shd w:val="clear" w:color="auto" w:fill="CCCCCC" w:themeFill="text1" w:themeFillTint="33"/>
      </w:tcPr>
    </w:tblStylePr>
  </w:style>
  <w:style w:type="table" w:styleId="ListTable1Light-Accent1">
    <w:name w:val="List Table 1 Light Accent 1"/>
    <w:basedOn w:val="TableNormal"/>
    <w:uiPriority w:val="46"/>
    <w:rsid w:val="00167B18"/>
    <w:pPr>
      <w:spacing w:after="0" w:line="240" w:lineRule="auto"/>
    </w:pPr>
    <w:tblPr>
      <w:tblStyleRowBandSize w:val="1"/>
      <w:tblStyleColBandSize w:val="1"/>
    </w:tblPr>
    <w:tblStylePr w:type="firstRow">
      <w:rPr>
        <w:b/>
        <w:bCs/>
      </w:rPr>
      <w:tblPr/>
      <w:tcPr>
        <w:tcBorders>
          <w:bottom w:val="single" w:sz="4" w:space="0" w:color="95B3D7" w:themeColor="accent1" w:themeTint="99"/>
        </w:tcBorders>
      </w:tcPr>
    </w:tblStylePr>
    <w:tblStylePr w:type="lastRow">
      <w:rPr>
        <w:b/>
        <w:bCs/>
      </w:rPr>
      <w:tblPr/>
      <w:tcPr>
        <w:tcBorders>
          <w:top w:val="single" w:sz="4" w:space="0" w:color="95B3D7" w:themeColor="accent1" w:themeTint="99"/>
        </w:tcBorders>
      </w:tcPr>
    </w:tblStylePr>
    <w:tblStylePr w:type="firstCol">
      <w:rPr>
        <w:b/>
        <w:bCs/>
      </w:rPr>
    </w:tblStylePr>
    <w:tblStylePr w:type="lastCol">
      <w:rPr>
        <w:b/>
        <w:bCs/>
      </w:rPr>
    </w:tblStylePr>
    <w:tblStylePr w:type="band1Vert">
      <w:tblPr/>
      <w:tcPr>
        <w:shd w:val="clear" w:color="auto" w:fill="DBE5F1" w:themeFill="accent1" w:themeFillTint="33"/>
      </w:tcPr>
    </w:tblStylePr>
    <w:tblStylePr w:type="band1Horz">
      <w:tblPr/>
      <w:tcPr>
        <w:shd w:val="clear" w:color="auto" w:fill="DBE5F1" w:themeFill="accent1" w:themeFillTint="33"/>
      </w:tcPr>
    </w:tblStylePr>
  </w:style>
  <w:style w:type="table" w:styleId="ListTable1Light-Accent2">
    <w:name w:val="List Table 1 Light Accent 2"/>
    <w:basedOn w:val="TableNormal"/>
    <w:uiPriority w:val="46"/>
    <w:rsid w:val="00167B18"/>
    <w:pPr>
      <w:spacing w:after="0" w:line="240" w:lineRule="auto"/>
    </w:pPr>
    <w:tblPr>
      <w:tblStyleRowBandSize w:val="1"/>
      <w:tblStyleColBandSize w:val="1"/>
    </w:tblPr>
    <w:tblStylePr w:type="firstRow">
      <w:rPr>
        <w:b/>
        <w:bCs/>
      </w:rPr>
      <w:tblPr/>
      <w:tcPr>
        <w:tcBorders>
          <w:bottom w:val="single" w:sz="4" w:space="0" w:color="D99594" w:themeColor="accent2" w:themeTint="99"/>
        </w:tcBorders>
      </w:tcPr>
    </w:tblStylePr>
    <w:tblStylePr w:type="lastRow">
      <w:rPr>
        <w:b/>
        <w:bCs/>
      </w:rPr>
      <w:tblPr/>
      <w:tcPr>
        <w:tcBorders>
          <w:top w:val="single" w:sz="4" w:space="0" w:color="D99594" w:themeColor="accent2" w:themeTint="99"/>
        </w:tcBorders>
      </w:tcPr>
    </w:tblStylePr>
    <w:tblStylePr w:type="firstCol">
      <w:rPr>
        <w:b/>
        <w:bCs/>
      </w:rPr>
    </w:tblStylePr>
    <w:tblStylePr w:type="lastCol">
      <w:rPr>
        <w:b/>
        <w:bCs/>
      </w:rPr>
    </w:tblStylePr>
    <w:tblStylePr w:type="band1Vert">
      <w:tblPr/>
      <w:tcPr>
        <w:shd w:val="clear" w:color="auto" w:fill="F2DBDB" w:themeFill="accent2" w:themeFillTint="33"/>
      </w:tcPr>
    </w:tblStylePr>
    <w:tblStylePr w:type="band1Horz">
      <w:tblPr/>
      <w:tcPr>
        <w:shd w:val="clear" w:color="auto" w:fill="F2DBDB" w:themeFill="accent2" w:themeFillTint="33"/>
      </w:tcPr>
    </w:tblStylePr>
  </w:style>
  <w:style w:type="table" w:styleId="ListTable1Light-Accent3">
    <w:name w:val="List Table 1 Light Accent 3"/>
    <w:basedOn w:val="TableNormal"/>
    <w:uiPriority w:val="46"/>
    <w:rsid w:val="00167B18"/>
    <w:pPr>
      <w:spacing w:after="0" w:line="240" w:lineRule="auto"/>
    </w:pPr>
    <w:tblPr>
      <w:tblStyleRowBandSize w:val="1"/>
      <w:tblStyleColBandSize w:val="1"/>
    </w:tblPr>
    <w:tblStylePr w:type="firstRow">
      <w:rPr>
        <w:b/>
        <w:bCs/>
      </w:rPr>
      <w:tblPr/>
      <w:tcPr>
        <w:tcBorders>
          <w:bottom w:val="single" w:sz="4" w:space="0" w:color="C2D69B" w:themeColor="accent3" w:themeTint="99"/>
        </w:tcBorders>
      </w:tcPr>
    </w:tblStylePr>
    <w:tblStylePr w:type="lastRow">
      <w:rPr>
        <w:b/>
        <w:bCs/>
      </w:rPr>
      <w:tblPr/>
      <w:tcPr>
        <w:tcBorders>
          <w:top w:val="single" w:sz="4" w:space="0" w:color="C2D69B" w:themeColor="accent3" w:themeTint="99"/>
        </w:tcBorders>
      </w:tcPr>
    </w:tblStylePr>
    <w:tblStylePr w:type="firstCol">
      <w:rPr>
        <w:b/>
        <w:bCs/>
      </w:rPr>
    </w:tblStylePr>
    <w:tblStylePr w:type="lastCol">
      <w:rPr>
        <w:b/>
        <w:bCs/>
      </w:rPr>
    </w:tblStylePr>
    <w:tblStylePr w:type="band1Vert">
      <w:tblPr/>
      <w:tcPr>
        <w:shd w:val="clear" w:color="auto" w:fill="EAF1DD" w:themeFill="accent3" w:themeFillTint="33"/>
      </w:tcPr>
    </w:tblStylePr>
    <w:tblStylePr w:type="band1Horz">
      <w:tblPr/>
      <w:tcPr>
        <w:shd w:val="clear" w:color="auto" w:fill="EAF1DD" w:themeFill="accent3" w:themeFillTint="33"/>
      </w:tcPr>
    </w:tblStylePr>
  </w:style>
  <w:style w:type="table" w:styleId="ListTable1Light-Accent4">
    <w:name w:val="List Table 1 Light Accent 4"/>
    <w:basedOn w:val="TableNormal"/>
    <w:uiPriority w:val="46"/>
    <w:rsid w:val="00167B18"/>
    <w:pPr>
      <w:spacing w:after="0" w:line="240" w:lineRule="auto"/>
    </w:pPr>
    <w:tblPr>
      <w:tblStyleRowBandSize w:val="1"/>
      <w:tblStyleColBandSize w:val="1"/>
    </w:tblPr>
    <w:tblStylePr w:type="firstRow">
      <w:rPr>
        <w:b/>
        <w:bCs/>
      </w:rPr>
      <w:tblPr/>
      <w:tcPr>
        <w:tcBorders>
          <w:bottom w:val="single" w:sz="4" w:space="0" w:color="B2A1C7" w:themeColor="accent4" w:themeTint="99"/>
        </w:tcBorders>
      </w:tcPr>
    </w:tblStylePr>
    <w:tblStylePr w:type="lastRow">
      <w:rPr>
        <w:b/>
        <w:bCs/>
      </w:rPr>
      <w:tblPr/>
      <w:tcPr>
        <w:tcBorders>
          <w:top w:val="single" w:sz="4" w:space="0" w:color="B2A1C7" w:themeColor="accent4" w:themeTint="99"/>
        </w:tcBorders>
      </w:tcPr>
    </w:tblStylePr>
    <w:tblStylePr w:type="firstCol">
      <w:rPr>
        <w:b/>
        <w:bCs/>
      </w:rPr>
    </w:tblStylePr>
    <w:tblStylePr w:type="lastCol">
      <w:rPr>
        <w:b/>
        <w:bCs/>
      </w:rPr>
    </w:tblStylePr>
    <w:tblStylePr w:type="band1Vert">
      <w:tblPr/>
      <w:tcPr>
        <w:shd w:val="clear" w:color="auto" w:fill="E5DFEC" w:themeFill="accent4" w:themeFillTint="33"/>
      </w:tcPr>
    </w:tblStylePr>
    <w:tblStylePr w:type="band1Horz">
      <w:tblPr/>
      <w:tcPr>
        <w:shd w:val="clear" w:color="auto" w:fill="E5DFEC" w:themeFill="accent4" w:themeFillTint="33"/>
      </w:tcPr>
    </w:tblStylePr>
  </w:style>
  <w:style w:type="table" w:styleId="ListTable1Light-Accent5">
    <w:name w:val="List Table 1 Light Accent 5"/>
    <w:basedOn w:val="TableNormal"/>
    <w:uiPriority w:val="46"/>
    <w:rsid w:val="00167B18"/>
    <w:pPr>
      <w:spacing w:after="0" w:line="240" w:lineRule="auto"/>
    </w:pPr>
    <w:tblPr>
      <w:tblStyleRowBandSize w:val="1"/>
      <w:tblStyleColBandSize w:val="1"/>
    </w:tblPr>
    <w:tblStylePr w:type="firstRow">
      <w:rPr>
        <w:b/>
        <w:bCs/>
      </w:rPr>
      <w:tblPr/>
      <w:tcPr>
        <w:tcBorders>
          <w:bottom w:val="single" w:sz="4" w:space="0" w:color="92CDDC" w:themeColor="accent5" w:themeTint="99"/>
        </w:tcBorders>
      </w:tcPr>
    </w:tblStylePr>
    <w:tblStylePr w:type="lastRow">
      <w:rPr>
        <w:b/>
        <w:bCs/>
      </w:rPr>
      <w:tblPr/>
      <w:tcPr>
        <w:tcBorders>
          <w:top w:val="single" w:sz="4" w:space="0" w:color="92CDDC" w:themeColor="accent5" w:themeTint="99"/>
        </w:tcBorders>
      </w:tcPr>
    </w:tblStylePr>
    <w:tblStylePr w:type="firstCol">
      <w:rPr>
        <w:b/>
        <w:bCs/>
      </w:rPr>
    </w:tblStylePr>
    <w:tblStylePr w:type="lastCol">
      <w:rPr>
        <w:b/>
        <w:bCs/>
      </w:rPr>
    </w:tblStylePr>
    <w:tblStylePr w:type="band1Vert">
      <w:tblPr/>
      <w:tcPr>
        <w:shd w:val="clear" w:color="auto" w:fill="DAEEF3" w:themeFill="accent5" w:themeFillTint="33"/>
      </w:tcPr>
    </w:tblStylePr>
    <w:tblStylePr w:type="band1Horz">
      <w:tblPr/>
      <w:tcPr>
        <w:shd w:val="clear" w:color="auto" w:fill="DAEEF3" w:themeFill="accent5" w:themeFillTint="33"/>
      </w:tcPr>
    </w:tblStylePr>
  </w:style>
  <w:style w:type="table" w:styleId="ListTable1Light-Accent6">
    <w:name w:val="List Table 1 Light Accent 6"/>
    <w:basedOn w:val="TableNormal"/>
    <w:uiPriority w:val="46"/>
    <w:rsid w:val="00167B18"/>
    <w:pPr>
      <w:spacing w:after="0" w:line="240" w:lineRule="auto"/>
    </w:pPr>
    <w:tblPr>
      <w:tblStyleRowBandSize w:val="1"/>
      <w:tblStyleColBandSize w:val="1"/>
    </w:tblPr>
    <w:tblStylePr w:type="firstRow">
      <w:rPr>
        <w:b/>
        <w:bCs/>
      </w:rPr>
      <w:tblPr/>
      <w:tcPr>
        <w:tcBorders>
          <w:bottom w:val="single" w:sz="4" w:space="0" w:color="FABF8F" w:themeColor="accent6" w:themeTint="99"/>
        </w:tcBorders>
      </w:tcPr>
    </w:tblStylePr>
    <w:tblStylePr w:type="lastRow">
      <w:rPr>
        <w:b/>
        <w:bCs/>
      </w:rPr>
      <w:tblPr/>
      <w:tcPr>
        <w:tcBorders>
          <w:top w:val="single" w:sz="4" w:space="0" w:color="FABF8F" w:themeColor="accent6" w:themeTint="99"/>
        </w:tcBorders>
      </w:tcPr>
    </w:tblStylePr>
    <w:tblStylePr w:type="firstCol">
      <w:rPr>
        <w:b/>
        <w:bCs/>
      </w:rPr>
    </w:tblStylePr>
    <w:tblStylePr w:type="lastCol">
      <w:rPr>
        <w:b/>
        <w:bCs/>
      </w:rPr>
    </w:tblStylePr>
    <w:tblStylePr w:type="band1Vert">
      <w:tblPr/>
      <w:tcPr>
        <w:shd w:val="clear" w:color="auto" w:fill="FDE9D9" w:themeFill="accent6" w:themeFillTint="33"/>
      </w:tcPr>
    </w:tblStylePr>
    <w:tblStylePr w:type="band1Horz">
      <w:tblPr/>
      <w:tcPr>
        <w:shd w:val="clear" w:color="auto" w:fill="FDE9D9" w:themeFill="accent6" w:themeFillTint="33"/>
      </w:tcPr>
    </w:tblStylePr>
  </w:style>
  <w:style w:type="table" w:styleId="ListTable2">
    <w:name w:val="List Table 2"/>
    <w:basedOn w:val="TableNormal"/>
    <w:uiPriority w:val="47"/>
    <w:rsid w:val="00167B18"/>
    <w:pPr>
      <w:spacing w:after="0" w:line="240" w:lineRule="auto"/>
    </w:pPr>
    <w:tblPr>
      <w:tblStyleRowBandSize w:val="1"/>
      <w:tblStyleColBandSize w:val="1"/>
      <w:tblBorders>
        <w:top w:val="single" w:sz="4" w:space="0" w:color="666666" w:themeColor="text1" w:themeTint="99"/>
        <w:bottom w:val="single" w:sz="4" w:space="0" w:color="666666" w:themeColor="text1" w:themeTint="99"/>
        <w:insideH w:val="single" w:sz="4" w:space="0" w:color="666666" w:themeColor="text1" w:themeTint="99"/>
      </w:tblBorders>
    </w:tblPr>
    <w:tblStylePr w:type="firstRow">
      <w:rPr>
        <w:b/>
        <w:bCs/>
      </w:rPr>
    </w:tblStylePr>
    <w:tblStylePr w:type="lastRow">
      <w:rPr>
        <w:b/>
        <w:bCs/>
      </w:rPr>
    </w:tblStylePr>
    <w:tblStylePr w:type="firstCol">
      <w:rPr>
        <w:b/>
        <w:bCs/>
      </w:rPr>
    </w:tblStylePr>
    <w:tblStylePr w:type="lastCol">
      <w:rPr>
        <w:b/>
        <w:bCs/>
      </w:rPr>
    </w:tblStylePr>
    <w:tblStylePr w:type="band1Vert">
      <w:tblPr/>
      <w:tcPr>
        <w:shd w:val="clear" w:color="auto" w:fill="CCCCCC" w:themeFill="text1" w:themeFillTint="33"/>
      </w:tcPr>
    </w:tblStylePr>
    <w:tblStylePr w:type="band1Horz">
      <w:tblPr/>
      <w:tcPr>
        <w:shd w:val="clear" w:color="auto" w:fill="CCCCCC" w:themeFill="text1" w:themeFillTint="33"/>
      </w:tcPr>
    </w:tblStylePr>
  </w:style>
  <w:style w:type="table" w:styleId="ListTable2-Accent1">
    <w:name w:val="List Table 2 Accent 1"/>
    <w:basedOn w:val="TableNormal"/>
    <w:uiPriority w:val="47"/>
    <w:rsid w:val="00167B18"/>
    <w:pPr>
      <w:spacing w:after="0" w:line="240" w:lineRule="auto"/>
    </w:pPr>
    <w:tblPr>
      <w:tblStyleRowBandSize w:val="1"/>
      <w:tblStyleColBandSize w:val="1"/>
      <w:tblBorders>
        <w:top w:val="single" w:sz="4" w:space="0" w:color="95B3D7" w:themeColor="accent1" w:themeTint="99"/>
        <w:bottom w:val="single" w:sz="4" w:space="0" w:color="95B3D7" w:themeColor="accent1" w:themeTint="99"/>
        <w:insideH w:val="single" w:sz="4" w:space="0" w:color="95B3D7" w:themeColor="accent1" w:themeTint="99"/>
      </w:tblBorders>
    </w:tblPr>
    <w:tblStylePr w:type="firstRow">
      <w:rPr>
        <w:b/>
        <w:bCs/>
      </w:rPr>
    </w:tblStylePr>
    <w:tblStylePr w:type="lastRow">
      <w:rPr>
        <w:b/>
        <w:bCs/>
      </w:rPr>
    </w:tblStylePr>
    <w:tblStylePr w:type="firstCol">
      <w:rPr>
        <w:b/>
        <w:bCs/>
      </w:rPr>
    </w:tblStylePr>
    <w:tblStylePr w:type="lastCol">
      <w:rPr>
        <w:b/>
        <w:bCs/>
      </w:rPr>
    </w:tblStylePr>
    <w:tblStylePr w:type="band1Vert">
      <w:tblPr/>
      <w:tcPr>
        <w:shd w:val="clear" w:color="auto" w:fill="DBE5F1" w:themeFill="accent1" w:themeFillTint="33"/>
      </w:tcPr>
    </w:tblStylePr>
    <w:tblStylePr w:type="band1Horz">
      <w:tblPr/>
      <w:tcPr>
        <w:shd w:val="clear" w:color="auto" w:fill="DBE5F1" w:themeFill="accent1" w:themeFillTint="33"/>
      </w:tcPr>
    </w:tblStylePr>
  </w:style>
  <w:style w:type="table" w:styleId="ListTable2-Accent2">
    <w:name w:val="List Table 2 Accent 2"/>
    <w:basedOn w:val="TableNormal"/>
    <w:uiPriority w:val="47"/>
    <w:rsid w:val="00167B18"/>
    <w:pPr>
      <w:spacing w:after="0" w:line="240" w:lineRule="auto"/>
    </w:pPr>
    <w:tblPr>
      <w:tblStyleRowBandSize w:val="1"/>
      <w:tblStyleColBandSize w:val="1"/>
      <w:tblBorders>
        <w:top w:val="single" w:sz="4" w:space="0" w:color="D99594" w:themeColor="accent2" w:themeTint="99"/>
        <w:bottom w:val="single" w:sz="4" w:space="0" w:color="D99594" w:themeColor="accent2" w:themeTint="99"/>
        <w:insideH w:val="single" w:sz="4" w:space="0" w:color="D99594" w:themeColor="accent2" w:themeTint="99"/>
      </w:tblBorders>
    </w:tblPr>
    <w:tblStylePr w:type="firstRow">
      <w:rPr>
        <w:b/>
        <w:bCs/>
      </w:rPr>
    </w:tblStylePr>
    <w:tblStylePr w:type="lastRow">
      <w:rPr>
        <w:b/>
        <w:bCs/>
      </w:rPr>
    </w:tblStylePr>
    <w:tblStylePr w:type="firstCol">
      <w:rPr>
        <w:b/>
        <w:bCs/>
      </w:rPr>
    </w:tblStylePr>
    <w:tblStylePr w:type="lastCol">
      <w:rPr>
        <w:b/>
        <w:bCs/>
      </w:rPr>
    </w:tblStylePr>
    <w:tblStylePr w:type="band1Vert">
      <w:tblPr/>
      <w:tcPr>
        <w:shd w:val="clear" w:color="auto" w:fill="F2DBDB" w:themeFill="accent2" w:themeFillTint="33"/>
      </w:tcPr>
    </w:tblStylePr>
    <w:tblStylePr w:type="band1Horz">
      <w:tblPr/>
      <w:tcPr>
        <w:shd w:val="clear" w:color="auto" w:fill="F2DBDB" w:themeFill="accent2" w:themeFillTint="33"/>
      </w:tcPr>
    </w:tblStylePr>
  </w:style>
  <w:style w:type="table" w:styleId="ListTable2-Accent3">
    <w:name w:val="List Table 2 Accent 3"/>
    <w:basedOn w:val="TableNormal"/>
    <w:uiPriority w:val="47"/>
    <w:rsid w:val="00167B18"/>
    <w:pPr>
      <w:spacing w:after="0" w:line="240" w:lineRule="auto"/>
    </w:pPr>
    <w:tblPr>
      <w:tblStyleRowBandSize w:val="1"/>
      <w:tblStyleColBandSize w:val="1"/>
      <w:tblBorders>
        <w:top w:val="single" w:sz="4" w:space="0" w:color="C2D69B" w:themeColor="accent3" w:themeTint="99"/>
        <w:bottom w:val="single" w:sz="4" w:space="0" w:color="C2D69B" w:themeColor="accent3" w:themeTint="99"/>
        <w:insideH w:val="single" w:sz="4" w:space="0" w:color="C2D69B" w:themeColor="accent3" w:themeTint="99"/>
      </w:tblBorders>
    </w:tblPr>
    <w:tblStylePr w:type="firstRow">
      <w:rPr>
        <w:b/>
        <w:bCs/>
      </w:rPr>
    </w:tblStylePr>
    <w:tblStylePr w:type="lastRow">
      <w:rPr>
        <w:b/>
        <w:bCs/>
      </w:rPr>
    </w:tblStylePr>
    <w:tblStylePr w:type="firstCol">
      <w:rPr>
        <w:b/>
        <w:bCs/>
      </w:rPr>
    </w:tblStylePr>
    <w:tblStylePr w:type="lastCol">
      <w:rPr>
        <w:b/>
        <w:bCs/>
      </w:rPr>
    </w:tblStylePr>
    <w:tblStylePr w:type="band1Vert">
      <w:tblPr/>
      <w:tcPr>
        <w:shd w:val="clear" w:color="auto" w:fill="EAF1DD" w:themeFill="accent3" w:themeFillTint="33"/>
      </w:tcPr>
    </w:tblStylePr>
    <w:tblStylePr w:type="band1Horz">
      <w:tblPr/>
      <w:tcPr>
        <w:shd w:val="clear" w:color="auto" w:fill="EAF1DD" w:themeFill="accent3" w:themeFillTint="33"/>
      </w:tcPr>
    </w:tblStylePr>
  </w:style>
  <w:style w:type="table" w:styleId="ListTable2-Accent4">
    <w:name w:val="List Table 2 Accent 4"/>
    <w:basedOn w:val="TableNormal"/>
    <w:uiPriority w:val="47"/>
    <w:rsid w:val="00167B18"/>
    <w:pPr>
      <w:spacing w:after="0" w:line="240" w:lineRule="auto"/>
    </w:pPr>
    <w:tblPr>
      <w:tblStyleRowBandSize w:val="1"/>
      <w:tblStyleColBandSize w:val="1"/>
      <w:tblBorders>
        <w:top w:val="single" w:sz="4" w:space="0" w:color="B2A1C7" w:themeColor="accent4" w:themeTint="99"/>
        <w:bottom w:val="single" w:sz="4" w:space="0" w:color="B2A1C7" w:themeColor="accent4" w:themeTint="99"/>
        <w:insideH w:val="single" w:sz="4" w:space="0" w:color="B2A1C7" w:themeColor="accent4" w:themeTint="99"/>
      </w:tblBorders>
    </w:tblPr>
    <w:tblStylePr w:type="firstRow">
      <w:rPr>
        <w:b/>
        <w:bCs/>
      </w:rPr>
    </w:tblStylePr>
    <w:tblStylePr w:type="lastRow">
      <w:rPr>
        <w:b/>
        <w:bCs/>
      </w:rPr>
    </w:tblStylePr>
    <w:tblStylePr w:type="firstCol">
      <w:rPr>
        <w:b/>
        <w:bCs/>
      </w:rPr>
    </w:tblStylePr>
    <w:tblStylePr w:type="lastCol">
      <w:rPr>
        <w:b/>
        <w:bCs/>
      </w:rPr>
    </w:tblStylePr>
    <w:tblStylePr w:type="band1Vert">
      <w:tblPr/>
      <w:tcPr>
        <w:shd w:val="clear" w:color="auto" w:fill="E5DFEC" w:themeFill="accent4" w:themeFillTint="33"/>
      </w:tcPr>
    </w:tblStylePr>
    <w:tblStylePr w:type="band1Horz">
      <w:tblPr/>
      <w:tcPr>
        <w:shd w:val="clear" w:color="auto" w:fill="E5DFEC" w:themeFill="accent4" w:themeFillTint="33"/>
      </w:tcPr>
    </w:tblStylePr>
  </w:style>
  <w:style w:type="table" w:styleId="ListTable2-Accent5">
    <w:name w:val="List Table 2 Accent 5"/>
    <w:basedOn w:val="TableNormal"/>
    <w:uiPriority w:val="47"/>
    <w:rsid w:val="00167B18"/>
    <w:pPr>
      <w:spacing w:after="0" w:line="240" w:lineRule="auto"/>
    </w:pPr>
    <w:tblPr>
      <w:tblStyleRowBandSize w:val="1"/>
      <w:tblStyleColBandSize w:val="1"/>
      <w:tblBorders>
        <w:top w:val="single" w:sz="4" w:space="0" w:color="92CDDC" w:themeColor="accent5" w:themeTint="99"/>
        <w:bottom w:val="single" w:sz="4" w:space="0" w:color="92CDDC" w:themeColor="accent5" w:themeTint="99"/>
        <w:insideH w:val="single" w:sz="4" w:space="0" w:color="92CDDC" w:themeColor="accent5" w:themeTint="99"/>
      </w:tblBorders>
    </w:tblPr>
    <w:tblStylePr w:type="firstRow">
      <w:rPr>
        <w:b/>
        <w:bCs/>
      </w:rPr>
    </w:tblStylePr>
    <w:tblStylePr w:type="lastRow">
      <w:rPr>
        <w:b/>
        <w:bCs/>
      </w:rPr>
    </w:tblStylePr>
    <w:tblStylePr w:type="firstCol">
      <w:rPr>
        <w:b/>
        <w:bCs/>
      </w:rPr>
    </w:tblStylePr>
    <w:tblStylePr w:type="lastCol">
      <w:rPr>
        <w:b/>
        <w:bCs/>
      </w:rPr>
    </w:tblStylePr>
    <w:tblStylePr w:type="band1Vert">
      <w:tblPr/>
      <w:tcPr>
        <w:shd w:val="clear" w:color="auto" w:fill="DAEEF3" w:themeFill="accent5" w:themeFillTint="33"/>
      </w:tcPr>
    </w:tblStylePr>
    <w:tblStylePr w:type="band1Horz">
      <w:tblPr/>
      <w:tcPr>
        <w:shd w:val="clear" w:color="auto" w:fill="DAEEF3" w:themeFill="accent5" w:themeFillTint="33"/>
      </w:tcPr>
    </w:tblStylePr>
  </w:style>
  <w:style w:type="table" w:styleId="ListTable2-Accent6">
    <w:name w:val="List Table 2 Accent 6"/>
    <w:basedOn w:val="TableNormal"/>
    <w:uiPriority w:val="47"/>
    <w:rsid w:val="00167B18"/>
    <w:pPr>
      <w:spacing w:after="0" w:line="240" w:lineRule="auto"/>
    </w:pPr>
    <w:tblPr>
      <w:tblStyleRowBandSize w:val="1"/>
      <w:tblStyleColBandSize w:val="1"/>
      <w:tblBorders>
        <w:top w:val="single" w:sz="4" w:space="0" w:color="FABF8F" w:themeColor="accent6" w:themeTint="99"/>
        <w:bottom w:val="single" w:sz="4" w:space="0" w:color="FABF8F" w:themeColor="accent6" w:themeTint="99"/>
        <w:insideH w:val="single" w:sz="4" w:space="0" w:color="FABF8F" w:themeColor="accent6" w:themeTint="99"/>
      </w:tblBorders>
    </w:tblPr>
    <w:tblStylePr w:type="firstRow">
      <w:rPr>
        <w:b/>
        <w:bCs/>
      </w:rPr>
    </w:tblStylePr>
    <w:tblStylePr w:type="lastRow">
      <w:rPr>
        <w:b/>
        <w:bCs/>
      </w:rPr>
    </w:tblStylePr>
    <w:tblStylePr w:type="firstCol">
      <w:rPr>
        <w:b/>
        <w:bCs/>
      </w:rPr>
    </w:tblStylePr>
    <w:tblStylePr w:type="lastCol">
      <w:rPr>
        <w:b/>
        <w:bCs/>
      </w:rPr>
    </w:tblStylePr>
    <w:tblStylePr w:type="band1Vert">
      <w:tblPr/>
      <w:tcPr>
        <w:shd w:val="clear" w:color="auto" w:fill="FDE9D9" w:themeFill="accent6" w:themeFillTint="33"/>
      </w:tcPr>
    </w:tblStylePr>
    <w:tblStylePr w:type="band1Horz">
      <w:tblPr/>
      <w:tcPr>
        <w:shd w:val="clear" w:color="auto" w:fill="FDE9D9" w:themeFill="accent6" w:themeFillTint="33"/>
      </w:tcPr>
    </w:tblStylePr>
  </w:style>
  <w:style w:type="table" w:styleId="ListTable3">
    <w:name w:val="List Table 3"/>
    <w:basedOn w:val="TableNormal"/>
    <w:uiPriority w:val="48"/>
    <w:rsid w:val="00167B18"/>
    <w:pPr>
      <w:spacing w:after="0" w:line="240" w:lineRule="auto"/>
    </w:pPr>
    <w:tblPr>
      <w:tblStyleRowBandSize w:val="1"/>
      <w:tblStyleColBandSize w:val="1"/>
      <w:tblBorders>
        <w:top w:val="single" w:sz="4" w:space="0" w:color="000000" w:themeColor="text1"/>
        <w:left w:val="single" w:sz="4" w:space="0" w:color="000000" w:themeColor="text1"/>
        <w:bottom w:val="single" w:sz="4" w:space="0" w:color="000000" w:themeColor="text1"/>
        <w:right w:val="single" w:sz="4" w:space="0" w:color="000000" w:themeColor="text1"/>
      </w:tblBorders>
    </w:tblPr>
    <w:tblStylePr w:type="firstRow">
      <w:rPr>
        <w:b/>
        <w:bCs/>
        <w:color w:val="FFFFFF" w:themeColor="background1"/>
      </w:rPr>
      <w:tblPr/>
      <w:tcPr>
        <w:shd w:val="clear" w:color="auto" w:fill="000000" w:themeFill="text1"/>
      </w:tcPr>
    </w:tblStylePr>
    <w:tblStylePr w:type="lastRow">
      <w:rPr>
        <w:b/>
        <w:bCs/>
      </w:rPr>
      <w:tblPr/>
      <w:tcPr>
        <w:tcBorders>
          <w:top w:val="double" w:sz="4" w:space="0" w:color="000000" w:themeColor="text1"/>
        </w:tcBorders>
        <w:shd w:val="clear" w:color="auto" w:fill="FFFFFF" w:themeFill="background1"/>
      </w:tcPr>
    </w:tblStylePr>
    <w:tblStylePr w:type="firstCol">
      <w:rPr>
        <w:b/>
        <w:bCs/>
      </w:rPr>
      <w:tblPr/>
      <w:tcPr>
        <w:tcBorders>
          <w:right w:val="nil"/>
        </w:tcBorders>
        <w:shd w:val="clear" w:color="auto" w:fill="FFFFFF" w:themeFill="background1"/>
      </w:tcPr>
    </w:tblStylePr>
    <w:tblStylePr w:type="lastCol">
      <w:rPr>
        <w:b/>
        <w:bCs/>
      </w:rPr>
      <w:tblPr/>
      <w:tcPr>
        <w:tcBorders>
          <w:left w:val="nil"/>
        </w:tcBorders>
        <w:shd w:val="clear" w:color="auto" w:fill="FFFFFF" w:themeFill="background1"/>
      </w:tcPr>
    </w:tblStylePr>
    <w:tblStylePr w:type="band1Vert">
      <w:tblPr/>
      <w:tcPr>
        <w:tcBorders>
          <w:left w:val="single" w:sz="4" w:space="0" w:color="000000" w:themeColor="text1"/>
          <w:right w:val="single" w:sz="4" w:space="0" w:color="000000" w:themeColor="text1"/>
        </w:tcBorders>
      </w:tcPr>
    </w:tblStylePr>
    <w:tblStylePr w:type="band1Horz">
      <w:tblPr/>
      <w:tcPr>
        <w:tcBorders>
          <w:top w:val="single" w:sz="4" w:space="0" w:color="000000" w:themeColor="text1"/>
          <w:bottom w:val="single" w:sz="4" w:space="0" w:color="000000" w:themeColor="text1"/>
          <w:insideH w:val="nil"/>
        </w:tcBorders>
      </w:tcPr>
    </w:tblStylePr>
    <w:tblStylePr w:type="neCell">
      <w:tblPr/>
      <w:tcPr>
        <w:tcBorders>
          <w:left w:val="nil"/>
          <w:bottom w:val="nil"/>
        </w:tcBorders>
      </w:tcPr>
    </w:tblStylePr>
    <w:tblStylePr w:type="nwCell">
      <w:tblPr/>
      <w:tcPr>
        <w:tcBorders>
          <w:bottom w:val="nil"/>
          <w:right w:val="nil"/>
        </w:tcBorders>
      </w:tcPr>
    </w:tblStylePr>
    <w:tblStylePr w:type="seCell">
      <w:tblPr/>
      <w:tcPr>
        <w:tcBorders>
          <w:top w:val="double" w:sz="4" w:space="0" w:color="000000" w:themeColor="text1"/>
          <w:left w:val="nil"/>
        </w:tcBorders>
      </w:tcPr>
    </w:tblStylePr>
    <w:tblStylePr w:type="swCell">
      <w:tblPr/>
      <w:tcPr>
        <w:tcBorders>
          <w:top w:val="double" w:sz="4" w:space="0" w:color="000000" w:themeColor="text1"/>
          <w:right w:val="nil"/>
        </w:tcBorders>
      </w:tcPr>
    </w:tblStylePr>
  </w:style>
  <w:style w:type="table" w:styleId="ListTable3-Accent1">
    <w:name w:val="List Table 3 Accent 1"/>
    <w:basedOn w:val="TableNormal"/>
    <w:uiPriority w:val="48"/>
    <w:rsid w:val="00167B18"/>
    <w:pPr>
      <w:spacing w:after="0" w:line="240" w:lineRule="auto"/>
    </w:pPr>
    <w:tblPr>
      <w:tblStyleRowBandSize w:val="1"/>
      <w:tblStyleColBandSize w:val="1"/>
      <w:tblBorders>
        <w:top w:val="single" w:sz="4" w:space="0" w:color="4F81BD" w:themeColor="accent1"/>
        <w:left w:val="single" w:sz="4" w:space="0" w:color="4F81BD" w:themeColor="accent1"/>
        <w:bottom w:val="single" w:sz="4" w:space="0" w:color="4F81BD" w:themeColor="accent1"/>
        <w:right w:val="single" w:sz="4" w:space="0" w:color="4F81BD" w:themeColor="accent1"/>
      </w:tblBorders>
    </w:tblPr>
    <w:tblStylePr w:type="firstRow">
      <w:rPr>
        <w:b/>
        <w:bCs/>
        <w:color w:val="FFFFFF" w:themeColor="background1"/>
      </w:rPr>
      <w:tblPr/>
      <w:tcPr>
        <w:shd w:val="clear" w:color="auto" w:fill="4F81BD" w:themeFill="accent1"/>
      </w:tcPr>
    </w:tblStylePr>
    <w:tblStylePr w:type="lastRow">
      <w:rPr>
        <w:b/>
        <w:bCs/>
      </w:rPr>
      <w:tblPr/>
      <w:tcPr>
        <w:tcBorders>
          <w:top w:val="double" w:sz="4" w:space="0" w:color="4F81BD" w:themeColor="accent1"/>
        </w:tcBorders>
        <w:shd w:val="clear" w:color="auto" w:fill="FFFFFF" w:themeFill="background1"/>
      </w:tcPr>
    </w:tblStylePr>
    <w:tblStylePr w:type="firstCol">
      <w:rPr>
        <w:b/>
        <w:bCs/>
      </w:rPr>
      <w:tblPr/>
      <w:tcPr>
        <w:tcBorders>
          <w:right w:val="nil"/>
        </w:tcBorders>
        <w:shd w:val="clear" w:color="auto" w:fill="FFFFFF" w:themeFill="background1"/>
      </w:tcPr>
    </w:tblStylePr>
    <w:tblStylePr w:type="lastCol">
      <w:rPr>
        <w:b/>
        <w:bCs/>
      </w:rPr>
      <w:tblPr/>
      <w:tcPr>
        <w:tcBorders>
          <w:left w:val="nil"/>
        </w:tcBorders>
        <w:shd w:val="clear" w:color="auto" w:fill="FFFFFF" w:themeFill="background1"/>
      </w:tcPr>
    </w:tblStylePr>
    <w:tblStylePr w:type="band1Vert">
      <w:tblPr/>
      <w:tcPr>
        <w:tcBorders>
          <w:left w:val="single" w:sz="4" w:space="0" w:color="4F81BD" w:themeColor="accent1"/>
          <w:right w:val="single" w:sz="4" w:space="0" w:color="4F81BD" w:themeColor="accent1"/>
        </w:tcBorders>
      </w:tcPr>
    </w:tblStylePr>
    <w:tblStylePr w:type="band1Horz">
      <w:tblPr/>
      <w:tcPr>
        <w:tcBorders>
          <w:top w:val="single" w:sz="4" w:space="0" w:color="4F81BD" w:themeColor="accent1"/>
          <w:bottom w:val="single" w:sz="4" w:space="0" w:color="4F81BD" w:themeColor="accent1"/>
          <w:insideH w:val="nil"/>
        </w:tcBorders>
      </w:tcPr>
    </w:tblStylePr>
    <w:tblStylePr w:type="neCell">
      <w:tblPr/>
      <w:tcPr>
        <w:tcBorders>
          <w:left w:val="nil"/>
          <w:bottom w:val="nil"/>
        </w:tcBorders>
      </w:tcPr>
    </w:tblStylePr>
    <w:tblStylePr w:type="nwCell">
      <w:tblPr/>
      <w:tcPr>
        <w:tcBorders>
          <w:bottom w:val="nil"/>
          <w:right w:val="nil"/>
        </w:tcBorders>
      </w:tcPr>
    </w:tblStylePr>
    <w:tblStylePr w:type="seCell">
      <w:tblPr/>
      <w:tcPr>
        <w:tcBorders>
          <w:top w:val="double" w:sz="4" w:space="0" w:color="4F81BD" w:themeColor="accent1"/>
          <w:left w:val="nil"/>
        </w:tcBorders>
      </w:tcPr>
    </w:tblStylePr>
    <w:tblStylePr w:type="swCell">
      <w:tblPr/>
      <w:tcPr>
        <w:tcBorders>
          <w:top w:val="double" w:sz="4" w:space="0" w:color="4F81BD" w:themeColor="accent1"/>
          <w:right w:val="nil"/>
        </w:tcBorders>
      </w:tcPr>
    </w:tblStylePr>
  </w:style>
  <w:style w:type="table" w:styleId="ListTable3-Accent2">
    <w:name w:val="List Table 3 Accent 2"/>
    <w:basedOn w:val="TableNormal"/>
    <w:uiPriority w:val="48"/>
    <w:rsid w:val="00167B18"/>
    <w:pPr>
      <w:spacing w:after="0" w:line="240" w:lineRule="auto"/>
    </w:pPr>
    <w:tblPr>
      <w:tblStyleRowBandSize w:val="1"/>
      <w:tblStyleColBandSize w:val="1"/>
      <w:tblBorders>
        <w:top w:val="single" w:sz="4" w:space="0" w:color="C0504D" w:themeColor="accent2"/>
        <w:left w:val="single" w:sz="4" w:space="0" w:color="C0504D" w:themeColor="accent2"/>
        <w:bottom w:val="single" w:sz="4" w:space="0" w:color="C0504D" w:themeColor="accent2"/>
        <w:right w:val="single" w:sz="4" w:space="0" w:color="C0504D" w:themeColor="accent2"/>
      </w:tblBorders>
    </w:tblPr>
    <w:tblStylePr w:type="firstRow">
      <w:rPr>
        <w:b/>
        <w:bCs/>
        <w:color w:val="FFFFFF" w:themeColor="background1"/>
      </w:rPr>
      <w:tblPr/>
      <w:tcPr>
        <w:shd w:val="clear" w:color="auto" w:fill="C0504D" w:themeFill="accent2"/>
      </w:tcPr>
    </w:tblStylePr>
    <w:tblStylePr w:type="lastRow">
      <w:rPr>
        <w:b/>
        <w:bCs/>
      </w:rPr>
      <w:tblPr/>
      <w:tcPr>
        <w:tcBorders>
          <w:top w:val="double" w:sz="4" w:space="0" w:color="C0504D" w:themeColor="accent2"/>
        </w:tcBorders>
        <w:shd w:val="clear" w:color="auto" w:fill="FFFFFF" w:themeFill="background1"/>
      </w:tcPr>
    </w:tblStylePr>
    <w:tblStylePr w:type="firstCol">
      <w:rPr>
        <w:b/>
        <w:bCs/>
      </w:rPr>
      <w:tblPr/>
      <w:tcPr>
        <w:tcBorders>
          <w:right w:val="nil"/>
        </w:tcBorders>
        <w:shd w:val="clear" w:color="auto" w:fill="FFFFFF" w:themeFill="background1"/>
      </w:tcPr>
    </w:tblStylePr>
    <w:tblStylePr w:type="lastCol">
      <w:rPr>
        <w:b/>
        <w:bCs/>
      </w:rPr>
      <w:tblPr/>
      <w:tcPr>
        <w:tcBorders>
          <w:left w:val="nil"/>
        </w:tcBorders>
        <w:shd w:val="clear" w:color="auto" w:fill="FFFFFF" w:themeFill="background1"/>
      </w:tcPr>
    </w:tblStylePr>
    <w:tblStylePr w:type="band1Vert">
      <w:tblPr/>
      <w:tcPr>
        <w:tcBorders>
          <w:left w:val="single" w:sz="4" w:space="0" w:color="C0504D" w:themeColor="accent2"/>
          <w:right w:val="single" w:sz="4" w:space="0" w:color="C0504D" w:themeColor="accent2"/>
        </w:tcBorders>
      </w:tcPr>
    </w:tblStylePr>
    <w:tblStylePr w:type="band1Horz">
      <w:tblPr/>
      <w:tcPr>
        <w:tcBorders>
          <w:top w:val="single" w:sz="4" w:space="0" w:color="C0504D" w:themeColor="accent2"/>
          <w:bottom w:val="single" w:sz="4" w:space="0" w:color="C0504D" w:themeColor="accent2"/>
          <w:insideH w:val="nil"/>
        </w:tcBorders>
      </w:tcPr>
    </w:tblStylePr>
    <w:tblStylePr w:type="neCell">
      <w:tblPr/>
      <w:tcPr>
        <w:tcBorders>
          <w:left w:val="nil"/>
          <w:bottom w:val="nil"/>
        </w:tcBorders>
      </w:tcPr>
    </w:tblStylePr>
    <w:tblStylePr w:type="nwCell">
      <w:tblPr/>
      <w:tcPr>
        <w:tcBorders>
          <w:bottom w:val="nil"/>
          <w:right w:val="nil"/>
        </w:tcBorders>
      </w:tcPr>
    </w:tblStylePr>
    <w:tblStylePr w:type="seCell">
      <w:tblPr/>
      <w:tcPr>
        <w:tcBorders>
          <w:top w:val="double" w:sz="4" w:space="0" w:color="C0504D" w:themeColor="accent2"/>
          <w:left w:val="nil"/>
        </w:tcBorders>
      </w:tcPr>
    </w:tblStylePr>
    <w:tblStylePr w:type="swCell">
      <w:tblPr/>
      <w:tcPr>
        <w:tcBorders>
          <w:top w:val="double" w:sz="4" w:space="0" w:color="C0504D" w:themeColor="accent2"/>
          <w:right w:val="nil"/>
        </w:tcBorders>
      </w:tcPr>
    </w:tblStylePr>
  </w:style>
  <w:style w:type="table" w:styleId="ListTable3-Accent3">
    <w:name w:val="List Table 3 Accent 3"/>
    <w:basedOn w:val="TableNormal"/>
    <w:uiPriority w:val="48"/>
    <w:rsid w:val="00167B18"/>
    <w:pPr>
      <w:spacing w:after="0" w:line="240" w:lineRule="auto"/>
    </w:pPr>
    <w:tblPr>
      <w:tblStyleRowBandSize w:val="1"/>
      <w:tblStyleColBandSize w:val="1"/>
      <w:tblBorders>
        <w:top w:val="single" w:sz="4" w:space="0" w:color="9BBB59" w:themeColor="accent3"/>
        <w:left w:val="single" w:sz="4" w:space="0" w:color="9BBB59" w:themeColor="accent3"/>
        <w:bottom w:val="single" w:sz="4" w:space="0" w:color="9BBB59" w:themeColor="accent3"/>
        <w:right w:val="single" w:sz="4" w:space="0" w:color="9BBB59" w:themeColor="accent3"/>
      </w:tblBorders>
    </w:tblPr>
    <w:tblStylePr w:type="firstRow">
      <w:rPr>
        <w:b/>
        <w:bCs/>
        <w:color w:val="FFFFFF" w:themeColor="background1"/>
      </w:rPr>
      <w:tblPr/>
      <w:tcPr>
        <w:shd w:val="clear" w:color="auto" w:fill="9BBB59" w:themeFill="accent3"/>
      </w:tcPr>
    </w:tblStylePr>
    <w:tblStylePr w:type="lastRow">
      <w:rPr>
        <w:b/>
        <w:bCs/>
      </w:rPr>
      <w:tblPr/>
      <w:tcPr>
        <w:tcBorders>
          <w:top w:val="double" w:sz="4" w:space="0" w:color="9BBB59" w:themeColor="accent3"/>
        </w:tcBorders>
        <w:shd w:val="clear" w:color="auto" w:fill="FFFFFF" w:themeFill="background1"/>
      </w:tcPr>
    </w:tblStylePr>
    <w:tblStylePr w:type="firstCol">
      <w:rPr>
        <w:b/>
        <w:bCs/>
      </w:rPr>
      <w:tblPr/>
      <w:tcPr>
        <w:tcBorders>
          <w:right w:val="nil"/>
        </w:tcBorders>
        <w:shd w:val="clear" w:color="auto" w:fill="FFFFFF" w:themeFill="background1"/>
      </w:tcPr>
    </w:tblStylePr>
    <w:tblStylePr w:type="lastCol">
      <w:rPr>
        <w:b/>
        <w:bCs/>
      </w:rPr>
      <w:tblPr/>
      <w:tcPr>
        <w:tcBorders>
          <w:left w:val="nil"/>
        </w:tcBorders>
        <w:shd w:val="clear" w:color="auto" w:fill="FFFFFF" w:themeFill="background1"/>
      </w:tcPr>
    </w:tblStylePr>
    <w:tblStylePr w:type="band1Vert">
      <w:tblPr/>
      <w:tcPr>
        <w:tcBorders>
          <w:left w:val="single" w:sz="4" w:space="0" w:color="9BBB59" w:themeColor="accent3"/>
          <w:right w:val="single" w:sz="4" w:space="0" w:color="9BBB59" w:themeColor="accent3"/>
        </w:tcBorders>
      </w:tcPr>
    </w:tblStylePr>
    <w:tblStylePr w:type="band1Horz">
      <w:tblPr/>
      <w:tcPr>
        <w:tcBorders>
          <w:top w:val="single" w:sz="4" w:space="0" w:color="9BBB59" w:themeColor="accent3"/>
          <w:bottom w:val="single" w:sz="4" w:space="0" w:color="9BBB59" w:themeColor="accent3"/>
          <w:insideH w:val="nil"/>
        </w:tcBorders>
      </w:tcPr>
    </w:tblStylePr>
    <w:tblStylePr w:type="neCell">
      <w:tblPr/>
      <w:tcPr>
        <w:tcBorders>
          <w:left w:val="nil"/>
          <w:bottom w:val="nil"/>
        </w:tcBorders>
      </w:tcPr>
    </w:tblStylePr>
    <w:tblStylePr w:type="nwCell">
      <w:tblPr/>
      <w:tcPr>
        <w:tcBorders>
          <w:bottom w:val="nil"/>
          <w:right w:val="nil"/>
        </w:tcBorders>
      </w:tcPr>
    </w:tblStylePr>
    <w:tblStylePr w:type="seCell">
      <w:tblPr/>
      <w:tcPr>
        <w:tcBorders>
          <w:top w:val="double" w:sz="4" w:space="0" w:color="9BBB59" w:themeColor="accent3"/>
          <w:left w:val="nil"/>
        </w:tcBorders>
      </w:tcPr>
    </w:tblStylePr>
    <w:tblStylePr w:type="swCell">
      <w:tblPr/>
      <w:tcPr>
        <w:tcBorders>
          <w:top w:val="double" w:sz="4" w:space="0" w:color="9BBB59" w:themeColor="accent3"/>
          <w:right w:val="nil"/>
        </w:tcBorders>
      </w:tcPr>
    </w:tblStylePr>
  </w:style>
  <w:style w:type="table" w:styleId="ListTable3-Accent4">
    <w:name w:val="List Table 3 Accent 4"/>
    <w:basedOn w:val="TableNormal"/>
    <w:uiPriority w:val="48"/>
    <w:rsid w:val="00167B18"/>
    <w:pPr>
      <w:spacing w:after="0" w:line="240" w:lineRule="auto"/>
    </w:pPr>
    <w:tblPr>
      <w:tblStyleRowBandSize w:val="1"/>
      <w:tblStyleColBandSize w:val="1"/>
      <w:tblBorders>
        <w:top w:val="single" w:sz="4" w:space="0" w:color="8064A2" w:themeColor="accent4"/>
        <w:left w:val="single" w:sz="4" w:space="0" w:color="8064A2" w:themeColor="accent4"/>
        <w:bottom w:val="single" w:sz="4" w:space="0" w:color="8064A2" w:themeColor="accent4"/>
        <w:right w:val="single" w:sz="4" w:space="0" w:color="8064A2" w:themeColor="accent4"/>
      </w:tblBorders>
    </w:tblPr>
    <w:tblStylePr w:type="firstRow">
      <w:rPr>
        <w:b/>
        <w:bCs/>
        <w:color w:val="FFFFFF" w:themeColor="background1"/>
      </w:rPr>
      <w:tblPr/>
      <w:tcPr>
        <w:shd w:val="clear" w:color="auto" w:fill="8064A2" w:themeFill="accent4"/>
      </w:tcPr>
    </w:tblStylePr>
    <w:tblStylePr w:type="lastRow">
      <w:rPr>
        <w:b/>
        <w:bCs/>
      </w:rPr>
      <w:tblPr/>
      <w:tcPr>
        <w:tcBorders>
          <w:top w:val="double" w:sz="4" w:space="0" w:color="8064A2" w:themeColor="accent4"/>
        </w:tcBorders>
        <w:shd w:val="clear" w:color="auto" w:fill="FFFFFF" w:themeFill="background1"/>
      </w:tcPr>
    </w:tblStylePr>
    <w:tblStylePr w:type="firstCol">
      <w:rPr>
        <w:b/>
        <w:bCs/>
      </w:rPr>
      <w:tblPr/>
      <w:tcPr>
        <w:tcBorders>
          <w:right w:val="nil"/>
        </w:tcBorders>
        <w:shd w:val="clear" w:color="auto" w:fill="FFFFFF" w:themeFill="background1"/>
      </w:tcPr>
    </w:tblStylePr>
    <w:tblStylePr w:type="lastCol">
      <w:rPr>
        <w:b/>
        <w:bCs/>
      </w:rPr>
      <w:tblPr/>
      <w:tcPr>
        <w:tcBorders>
          <w:left w:val="nil"/>
        </w:tcBorders>
        <w:shd w:val="clear" w:color="auto" w:fill="FFFFFF" w:themeFill="background1"/>
      </w:tcPr>
    </w:tblStylePr>
    <w:tblStylePr w:type="band1Vert">
      <w:tblPr/>
      <w:tcPr>
        <w:tcBorders>
          <w:left w:val="single" w:sz="4" w:space="0" w:color="8064A2" w:themeColor="accent4"/>
          <w:right w:val="single" w:sz="4" w:space="0" w:color="8064A2" w:themeColor="accent4"/>
        </w:tcBorders>
      </w:tcPr>
    </w:tblStylePr>
    <w:tblStylePr w:type="band1Horz">
      <w:tblPr/>
      <w:tcPr>
        <w:tcBorders>
          <w:top w:val="single" w:sz="4" w:space="0" w:color="8064A2" w:themeColor="accent4"/>
          <w:bottom w:val="single" w:sz="4" w:space="0" w:color="8064A2" w:themeColor="accent4"/>
          <w:insideH w:val="nil"/>
        </w:tcBorders>
      </w:tcPr>
    </w:tblStylePr>
    <w:tblStylePr w:type="neCell">
      <w:tblPr/>
      <w:tcPr>
        <w:tcBorders>
          <w:left w:val="nil"/>
          <w:bottom w:val="nil"/>
        </w:tcBorders>
      </w:tcPr>
    </w:tblStylePr>
    <w:tblStylePr w:type="nwCell">
      <w:tblPr/>
      <w:tcPr>
        <w:tcBorders>
          <w:bottom w:val="nil"/>
          <w:right w:val="nil"/>
        </w:tcBorders>
      </w:tcPr>
    </w:tblStylePr>
    <w:tblStylePr w:type="seCell">
      <w:tblPr/>
      <w:tcPr>
        <w:tcBorders>
          <w:top w:val="double" w:sz="4" w:space="0" w:color="8064A2" w:themeColor="accent4"/>
          <w:left w:val="nil"/>
        </w:tcBorders>
      </w:tcPr>
    </w:tblStylePr>
    <w:tblStylePr w:type="swCell">
      <w:tblPr/>
      <w:tcPr>
        <w:tcBorders>
          <w:top w:val="double" w:sz="4" w:space="0" w:color="8064A2" w:themeColor="accent4"/>
          <w:right w:val="nil"/>
        </w:tcBorders>
      </w:tcPr>
    </w:tblStylePr>
  </w:style>
  <w:style w:type="table" w:styleId="ListTable3-Accent5">
    <w:name w:val="List Table 3 Accent 5"/>
    <w:basedOn w:val="TableNormal"/>
    <w:uiPriority w:val="48"/>
    <w:rsid w:val="00167B18"/>
    <w:pPr>
      <w:spacing w:after="0" w:line="240" w:lineRule="auto"/>
    </w:pPr>
    <w:tblPr>
      <w:tblStyleRowBandSize w:val="1"/>
      <w:tblStyleColBandSize w:val="1"/>
      <w:tblBorders>
        <w:top w:val="single" w:sz="4" w:space="0" w:color="4BACC6" w:themeColor="accent5"/>
        <w:left w:val="single" w:sz="4" w:space="0" w:color="4BACC6" w:themeColor="accent5"/>
        <w:bottom w:val="single" w:sz="4" w:space="0" w:color="4BACC6" w:themeColor="accent5"/>
        <w:right w:val="single" w:sz="4" w:space="0" w:color="4BACC6" w:themeColor="accent5"/>
      </w:tblBorders>
    </w:tblPr>
    <w:tblStylePr w:type="firstRow">
      <w:rPr>
        <w:b/>
        <w:bCs/>
        <w:color w:val="FFFFFF" w:themeColor="background1"/>
      </w:rPr>
      <w:tblPr/>
      <w:tcPr>
        <w:shd w:val="clear" w:color="auto" w:fill="4BACC6" w:themeFill="accent5"/>
      </w:tcPr>
    </w:tblStylePr>
    <w:tblStylePr w:type="lastRow">
      <w:rPr>
        <w:b/>
        <w:bCs/>
      </w:rPr>
      <w:tblPr/>
      <w:tcPr>
        <w:tcBorders>
          <w:top w:val="double" w:sz="4" w:space="0" w:color="4BACC6" w:themeColor="accent5"/>
        </w:tcBorders>
        <w:shd w:val="clear" w:color="auto" w:fill="FFFFFF" w:themeFill="background1"/>
      </w:tcPr>
    </w:tblStylePr>
    <w:tblStylePr w:type="firstCol">
      <w:rPr>
        <w:b/>
        <w:bCs/>
      </w:rPr>
      <w:tblPr/>
      <w:tcPr>
        <w:tcBorders>
          <w:right w:val="nil"/>
        </w:tcBorders>
        <w:shd w:val="clear" w:color="auto" w:fill="FFFFFF" w:themeFill="background1"/>
      </w:tcPr>
    </w:tblStylePr>
    <w:tblStylePr w:type="lastCol">
      <w:rPr>
        <w:b/>
        <w:bCs/>
      </w:rPr>
      <w:tblPr/>
      <w:tcPr>
        <w:tcBorders>
          <w:left w:val="nil"/>
        </w:tcBorders>
        <w:shd w:val="clear" w:color="auto" w:fill="FFFFFF" w:themeFill="background1"/>
      </w:tcPr>
    </w:tblStylePr>
    <w:tblStylePr w:type="band1Vert">
      <w:tblPr/>
      <w:tcPr>
        <w:tcBorders>
          <w:left w:val="single" w:sz="4" w:space="0" w:color="4BACC6" w:themeColor="accent5"/>
          <w:right w:val="single" w:sz="4" w:space="0" w:color="4BACC6" w:themeColor="accent5"/>
        </w:tcBorders>
      </w:tcPr>
    </w:tblStylePr>
    <w:tblStylePr w:type="band1Horz">
      <w:tblPr/>
      <w:tcPr>
        <w:tcBorders>
          <w:top w:val="single" w:sz="4" w:space="0" w:color="4BACC6" w:themeColor="accent5"/>
          <w:bottom w:val="single" w:sz="4" w:space="0" w:color="4BACC6" w:themeColor="accent5"/>
          <w:insideH w:val="nil"/>
        </w:tcBorders>
      </w:tcPr>
    </w:tblStylePr>
    <w:tblStylePr w:type="neCell">
      <w:tblPr/>
      <w:tcPr>
        <w:tcBorders>
          <w:left w:val="nil"/>
          <w:bottom w:val="nil"/>
        </w:tcBorders>
      </w:tcPr>
    </w:tblStylePr>
    <w:tblStylePr w:type="nwCell">
      <w:tblPr/>
      <w:tcPr>
        <w:tcBorders>
          <w:bottom w:val="nil"/>
          <w:right w:val="nil"/>
        </w:tcBorders>
      </w:tcPr>
    </w:tblStylePr>
    <w:tblStylePr w:type="seCell">
      <w:tblPr/>
      <w:tcPr>
        <w:tcBorders>
          <w:top w:val="double" w:sz="4" w:space="0" w:color="4BACC6" w:themeColor="accent5"/>
          <w:left w:val="nil"/>
        </w:tcBorders>
      </w:tcPr>
    </w:tblStylePr>
    <w:tblStylePr w:type="swCell">
      <w:tblPr/>
      <w:tcPr>
        <w:tcBorders>
          <w:top w:val="double" w:sz="4" w:space="0" w:color="4BACC6" w:themeColor="accent5"/>
          <w:right w:val="nil"/>
        </w:tcBorders>
      </w:tcPr>
    </w:tblStylePr>
  </w:style>
  <w:style w:type="table" w:styleId="ListTable3-Accent6">
    <w:name w:val="List Table 3 Accent 6"/>
    <w:basedOn w:val="TableNormal"/>
    <w:uiPriority w:val="48"/>
    <w:rsid w:val="00167B18"/>
    <w:pPr>
      <w:spacing w:after="0" w:line="240" w:lineRule="auto"/>
    </w:pPr>
    <w:tblPr>
      <w:tblStyleRowBandSize w:val="1"/>
      <w:tblStyleColBandSize w:val="1"/>
      <w:tblBorders>
        <w:top w:val="single" w:sz="4" w:space="0" w:color="F79646" w:themeColor="accent6"/>
        <w:left w:val="single" w:sz="4" w:space="0" w:color="F79646" w:themeColor="accent6"/>
        <w:bottom w:val="single" w:sz="4" w:space="0" w:color="F79646" w:themeColor="accent6"/>
        <w:right w:val="single" w:sz="4" w:space="0" w:color="F79646" w:themeColor="accent6"/>
      </w:tblBorders>
    </w:tblPr>
    <w:tblStylePr w:type="firstRow">
      <w:rPr>
        <w:b/>
        <w:bCs/>
        <w:color w:val="FFFFFF" w:themeColor="background1"/>
      </w:rPr>
      <w:tblPr/>
      <w:tcPr>
        <w:shd w:val="clear" w:color="auto" w:fill="F79646" w:themeFill="accent6"/>
      </w:tcPr>
    </w:tblStylePr>
    <w:tblStylePr w:type="lastRow">
      <w:rPr>
        <w:b/>
        <w:bCs/>
      </w:rPr>
      <w:tblPr/>
      <w:tcPr>
        <w:tcBorders>
          <w:top w:val="double" w:sz="4" w:space="0" w:color="F79646" w:themeColor="accent6"/>
        </w:tcBorders>
        <w:shd w:val="clear" w:color="auto" w:fill="FFFFFF" w:themeFill="background1"/>
      </w:tcPr>
    </w:tblStylePr>
    <w:tblStylePr w:type="firstCol">
      <w:rPr>
        <w:b/>
        <w:bCs/>
      </w:rPr>
      <w:tblPr/>
      <w:tcPr>
        <w:tcBorders>
          <w:right w:val="nil"/>
        </w:tcBorders>
        <w:shd w:val="clear" w:color="auto" w:fill="FFFFFF" w:themeFill="background1"/>
      </w:tcPr>
    </w:tblStylePr>
    <w:tblStylePr w:type="lastCol">
      <w:rPr>
        <w:b/>
        <w:bCs/>
      </w:rPr>
      <w:tblPr/>
      <w:tcPr>
        <w:tcBorders>
          <w:left w:val="nil"/>
        </w:tcBorders>
        <w:shd w:val="clear" w:color="auto" w:fill="FFFFFF" w:themeFill="background1"/>
      </w:tcPr>
    </w:tblStylePr>
    <w:tblStylePr w:type="band1Vert">
      <w:tblPr/>
      <w:tcPr>
        <w:tcBorders>
          <w:left w:val="single" w:sz="4" w:space="0" w:color="F79646" w:themeColor="accent6"/>
          <w:right w:val="single" w:sz="4" w:space="0" w:color="F79646" w:themeColor="accent6"/>
        </w:tcBorders>
      </w:tcPr>
    </w:tblStylePr>
    <w:tblStylePr w:type="band1Horz">
      <w:tblPr/>
      <w:tcPr>
        <w:tcBorders>
          <w:top w:val="single" w:sz="4" w:space="0" w:color="F79646" w:themeColor="accent6"/>
          <w:bottom w:val="single" w:sz="4" w:space="0" w:color="F79646" w:themeColor="accent6"/>
          <w:insideH w:val="nil"/>
        </w:tcBorders>
      </w:tcPr>
    </w:tblStylePr>
    <w:tblStylePr w:type="neCell">
      <w:tblPr/>
      <w:tcPr>
        <w:tcBorders>
          <w:left w:val="nil"/>
          <w:bottom w:val="nil"/>
        </w:tcBorders>
      </w:tcPr>
    </w:tblStylePr>
    <w:tblStylePr w:type="nwCell">
      <w:tblPr/>
      <w:tcPr>
        <w:tcBorders>
          <w:bottom w:val="nil"/>
          <w:right w:val="nil"/>
        </w:tcBorders>
      </w:tcPr>
    </w:tblStylePr>
    <w:tblStylePr w:type="seCell">
      <w:tblPr/>
      <w:tcPr>
        <w:tcBorders>
          <w:top w:val="double" w:sz="4" w:space="0" w:color="F79646" w:themeColor="accent6"/>
          <w:left w:val="nil"/>
        </w:tcBorders>
      </w:tcPr>
    </w:tblStylePr>
    <w:tblStylePr w:type="swCell">
      <w:tblPr/>
      <w:tcPr>
        <w:tcBorders>
          <w:top w:val="double" w:sz="4" w:space="0" w:color="F79646" w:themeColor="accent6"/>
          <w:right w:val="nil"/>
        </w:tcBorders>
      </w:tcPr>
    </w:tblStylePr>
  </w:style>
  <w:style w:type="table" w:styleId="ListTable4">
    <w:name w:val="List Table 4"/>
    <w:basedOn w:val="TableNormal"/>
    <w:uiPriority w:val="49"/>
    <w:rsid w:val="00167B18"/>
    <w:pPr>
      <w:spacing w:after="0" w:line="240" w:lineRule="auto"/>
    </w:pPr>
    <w:tblPr>
      <w:tblStyleRowBandSize w:val="1"/>
      <w:tblStyleColBandSize w:val="1"/>
      <w:tblBorders>
        <w:top w:val="single" w:sz="4" w:space="0" w:color="666666" w:themeColor="text1" w:themeTint="99"/>
        <w:left w:val="single" w:sz="4" w:space="0" w:color="666666" w:themeColor="text1" w:themeTint="99"/>
        <w:bottom w:val="single" w:sz="4" w:space="0" w:color="666666" w:themeColor="text1" w:themeTint="99"/>
        <w:right w:val="single" w:sz="4" w:space="0" w:color="666666" w:themeColor="text1" w:themeTint="99"/>
        <w:insideH w:val="single" w:sz="4" w:space="0" w:color="666666" w:themeColor="text1" w:themeTint="99"/>
      </w:tblBorders>
    </w:tblPr>
    <w:tblStylePr w:type="firstRow">
      <w:rPr>
        <w:b/>
        <w:bCs/>
        <w:color w:val="FFFFFF" w:themeColor="background1"/>
      </w:rPr>
      <w:tblPr/>
      <w:tcPr>
        <w:tcBorders>
          <w:top w:val="single" w:sz="4" w:space="0" w:color="000000" w:themeColor="text1"/>
          <w:left w:val="single" w:sz="4" w:space="0" w:color="000000" w:themeColor="text1"/>
          <w:bottom w:val="single" w:sz="4" w:space="0" w:color="000000" w:themeColor="text1"/>
          <w:right w:val="single" w:sz="4" w:space="0" w:color="000000" w:themeColor="text1"/>
          <w:insideH w:val="nil"/>
        </w:tcBorders>
        <w:shd w:val="clear" w:color="auto" w:fill="000000" w:themeFill="text1"/>
      </w:tcPr>
    </w:tblStylePr>
    <w:tblStylePr w:type="lastRow">
      <w:rPr>
        <w:b/>
        <w:bCs/>
      </w:rPr>
      <w:tblPr/>
      <w:tcPr>
        <w:tcBorders>
          <w:top w:val="double" w:sz="4" w:space="0" w:color="666666" w:themeColor="text1" w:themeTint="99"/>
        </w:tcBorders>
      </w:tcPr>
    </w:tblStylePr>
    <w:tblStylePr w:type="firstCol">
      <w:rPr>
        <w:b/>
        <w:bCs/>
      </w:rPr>
    </w:tblStylePr>
    <w:tblStylePr w:type="lastCol">
      <w:rPr>
        <w:b/>
        <w:bCs/>
      </w:rPr>
    </w:tblStylePr>
    <w:tblStylePr w:type="band1Vert">
      <w:tblPr/>
      <w:tcPr>
        <w:shd w:val="clear" w:color="auto" w:fill="CCCCCC" w:themeFill="text1" w:themeFillTint="33"/>
      </w:tcPr>
    </w:tblStylePr>
    <w:tblStylePr w:type="band1Horz">
      <w:tblPr/>
      <w:tcPr>
        <w:shd w:val="clear" w:color="auto" w:fill="CCCCCC" w:themeFill="text1" w:themeFillTint="33"/>
      </w:tcPr>
    </w:tblStylePr>
  </w:style>
  <w:style w:type="table" w:styleId="ListTable4-Accent1">
    <w:name w:val="List Table 4 Accent 1"/>
    <w:basedOn w:val="TableNormal"/>
    <w:uiPriority w:val="49"/>
    <w:rsid w:val="00167B18"/>
    <w:pPr>
      <w:spacing w:after="0" w:line="240" w:lineRule="auto"/>
    </w:pPr>
    <w:tblPr>
      <w:tblStyleRowBandSize w:val="1"/>
      <w:tblStyleColBandSize w:val="1"/>
      <w:tblBorders>
        <w:top w:val="single" w:sz="4" w:space="0" w:color="95B3D7" w:themeColor="accent1" w:themeTint="99"/>
        <w:left w:val="single" w:sz="4" w:space="0" w:color="95B3D7" w:themeColor="accent1" w:themeTint="99"/>
        <w:bottom w:val="single" w:sz="4" w:space="0" w:color="95B3D7" w:themeColor="accent1" w:themeTint="99"/>
        <w:right w:val="single" w:sz="4" w:space="0" w:color="95B3D7" w:themeColor="accent1" w:themeTint="99"/>
        <w:insideH w:val="single" w:sz="4" w:space="0" w:color="95B3D7" w:themeColor="accent1" w:themeTint="99"/>
      </w:tblBorders>
    </w:tblPr>
    <w:tblStylePr w:type="firstRow">
      <w:rPr>
        <w:b/>
        <w:bCs/>
        <w:color w:val="FFFFFF" w:themeColor="background1"/>
      </w:rPr>
      <w:tblPr/>
      <w:tcPr>
        <w:tcBorders>
          <w:top w:val="single" w:sz="4" w:space="0" w:color="4F81BD" w:themeColor="accent1"/>
          <w:left w:val="single" w:sz="4" w:space="0" w:color="4F81BD" w:themeColor="accent1"/>
          <w:bottom w:val="single" w:sz="4" w:space="0" w:color="4F81BD" w:themeColor="accent1"/>
          <w:right w:val="single" w:sz="4" w:space="0" w:color="4F81BD" w:themeColor="accent1"/>
          <w:insideH w:val="nil"/>
        </w:tcBorders>
        <w:shd w:val="clear" w:color="auto" w:fill="4F81BD" w:themeFill="accent1"/>
      </w:tcPr>
    </w:tblStylePr>
    <w:tblStylePr w:type="lastRow">
      <w:rPr>
        <w:b/>
        <w:bCs/>
      </w:rPr>
      <w:tblPr/>
      <w:tcPr>
        <w:tcBorders>
          <w:top w:val="double" w:sz="4" w:space="0" w:color="95B3D7" w:themeColor="accent1" w:themeTint="99"/>
        </w:tcBorders>
      </w:tcPr>
    </w:tblStylePr>
    <w:tblStylePr w:type="firstCol">
      <w:rPr>
        <w:b/>
        <w:bCs/>
      </w:rPr>
    </w:tblStylePr>
    <w:tblStylePr w:type="lastCol">
      <w:rPr>
        <w:b/>
        <w:bCs/>
      </w:rPr>
    </w:tblStylePr>
    <w:tblStylePr w:type="band1Vert">
      <w:tblPr/>
      <w:tcPr>
        <w:shd w:val="clear" w:color="auto" w:fill="DBE5F1" w:themeFill="accent1" w:themeFillTint="33"/>
      </w:tcPr>
    </w:tblStylePr>
    <w:tblStylePr w:type="band1Horz">
      <w:tblPr/>
      <w:tcPr>
        <w:shd w:val="clear" w:color="auto" w:fill="DBE5F1" w:themeFill="accent1" w:themeFillTint="33"/>
      </w:tcPr>
    </w:tblStylePr>
  </w:style>
  <w:style w:type="table" w:styleId="ListTable4-Accent2">
    <w:name w:val="List Table 4 Accent 2"/>
    <w:basedOn w:val="TableNormal"/>
    <w:uiPriority w:val="49"/>
    <w:rsid w:val="00167B18"/>
    <w:pPr>
      <w:spacing w:after="0" w:line="240" w:lineRule="auto"/>
    </w:pPr>
    <w:tblPr>
      <w:tblStyleRowBandSize w:val="1"/>
      <w:tblStyleColBandSize w:val="1"/>
      <w:tblBorders>
        <w:top w:val="single" w:sz="4" w:space="0" w:color="D99594" w:themeColor="accent2" w:themeTint="99"/>
        <w:left w:val="single" w:sz="4" w:space="0" w:color="D99594" w:themeColor="accent2" w:themeTint="99"/>
        <w:bottom w:val="single" w:sz="4" w:space="0" w:color="D99594" w:themeColor="accent2" w:themeTint="99"/>
        <w:right w:val="single" w:sz="4" w:space="0" w:color="D99594" w:themeColor="accent2" w:themeTint="99"/>
        <w:insideH w:val="single" w:sz="4" w:space="0" w:color="D99594" w:themeColor="accent2" w:themeTint="99"/>
      </w:tblBorders>
    </w:tblPr>
    <w:tblStylePr w:type="firstRow">
      <w:rPr>
        <w:b/>
        <w:bCs/>
        <w:color w:val="FFFFFF" w:themeColor="background1"/>
      </w:rPr>
      <w:tblPr/>
      <w:tcPr>
        <w:tcBorders>
          <w:top w:val="single" w:sz="4" w:space="0" w:color="C0504D" w:themeColor="accent2"/>
          <w:left w:val="single" w:sz="4" w:space="0" w:color="C0504D" w:themeColor="accent2"/>
          <w:bottom w:val="single" w:sz="4" w:space="0" w:color="C0504D" w:themeColor="accent2"/>
          <w:right w:val="single" w:sz="4" w:space="0" w:color="C0504D" w:themeColor="accent2"/>
          <w:insideH w:val="nil"/>
        </w:tcBorders>
        <w:shd w:val="clear" w:color="auto" w:fill="C0504D" w:themeFill="accent2"/>
      </w:tcPr>
    </w:tblStylePr>
    <w:tblStylePr w:type="lastRow">
      <w:rPr>
        <w:b/>
        <w:bCs/>
      </w:rPr>
      <w:tblPr/>
      <w:tcPr>
        <w:tcBorders>
          <w:top w:val="double" w:sz="4" w:space="0" w:color="D99594" w:themeColor="accent2" w:themeTint="99"/>
        </w:tcBorders>
      </w:tcPr>
    </w:tblStylePr>
    <w:tblStylePr w:type="firstCol">
      <w:rPr>
        <w:b/>
        <w:bCs/>
      </w:rPr>
    </w:tblStylePr>
    <w:tblStylePr w:type="lastCol">
      <w:rPr>
        <w:b/>
        <w:bCs/>
      </w:rPr>
    </w:tblStylePr>
    <w:tblStylePr w:type="band1Vert">
      <w:tblPr/>
      <w:tcPr>
        <w:shd w:val="clear" w:color="auto" w:fill="F2DBDB" w:themeFill="accent2" w:themeFillTint="33"/>
      </w:tcPr>
    </w:tblStylePr>
    <w:tblStylePr w:type="band1Horz">
      <w:tblPr/>
      <w:tcPr>
        <w:shd w:val="clear" w:color="auto" w:fill="F2DBDB" w:themeFill="accent2" w:themeFillTint="33"/>
      </w:tcPr>
    </w:tblStylePr>
  </w:style>
  <w:style w:type="table" w:styleId="ListTable4-Accent3">
    <w:name w:val="List Table 4 Accent 3"/>
    <w:basedOn w:val="TableNormal"/>
    <w:uiPriority w:val="49"/>
    <w:rsid w:val="00167B18"/>
    <w:pPr>
      <w:spacing w:after="0" w:line="240" w:lineRule="auto"/>
    </w:pPr>
    <w:tblPr>
      <w:tblStyleRowBandSize w:val="1"/>
      <w:tblStyleColBandSize w:val="1"/>
      <w:tblBorders>
        <w:top w:val="single" w:sz="4" w:space="0" w:color="C2D69B" w:themeColor="accent3" w:themeTint="99"/>
        <w:left w:val="single" w:sz="4" w:space="0" w:color="C2D69B" w:themeColor="accent3" w:themeTint="99"/>
        <w:bottom w:val="single" w:sz="4" w:space="0" w:color="C2D69B" w:themeColor="accent3" w:themeTint="99"/>
        <w:right w:val="single" w:sz="4" w:space="0" w:color="C2D69B" w:themeColor="accent3" w:themeTint="99"/>
        <w:insideH w:val="single" w:sz="4" w:space="0" w:color="C2D69B" w:themeColor="accent3" w:themeTint="99"/>
      </w:tblBorders>
    </w:tblPr>
    <w:tblStylePr w:type="firstRow">
      <w:rPr>
        <w:b/>
        <w:bCs/>
        <w:color w:val="FFFFFF" w:themeColor="background1"/>
      </w:rPr>
      <w:tblPr/>
      <w:tcPr>
        <w:tcBorders>
          <w:top w:val="single" w:sz="4" w:space="0" w:color="9BBB59" w:themeColor="accent3"/>
          <w:left w:val="single" w:sz="4" w:space="0" w:color="9BBB59" w:themeColor="accent3"/>
          <w:bottom w:val="single" w:sz="4" w:space="0" w:color="9BBB59" w:themeColor="accent3"/>
          <w:right w:val="single" w:sz="4" w:space="0" w:color="9BBB59" w:themeColor="accent3"/>
          <w:insideH w:val="nil"/>
        </w:tcBorders>
        <w:shd w:val="clear" w:color="auto" w:fill="9BBB59" w:themeFill="accent3"/>
      </w:tcPr>
    </w:tblStylePr>
    <w:tblStylePr w:type="lastRow">
      <w:rPr>
        <w:b/>
        <w:bCs/>
      </w:rPr>
      <w:tblPr/>
      <w:tcPr>
        <w:tcBorders>
          <w:top w:val="double" w:sz="4" w:space="0" w:color="C2D69B" w:themeColor="accent3" w:themeTint="99"/>
        </w:tcBorders>
      </w:tcPr>
    </w:tblStylePr>
    <w:tblStylePr w:type="firstCol">
      <w:rPr>
        <w:b/>
        <w:bCs/>
      </w:rPr>
    </w:tblStylePr>
    <w:tblStylePr w:type="lastCol">
      <w:rPr>
        <w:b/>
        <w:bCs/>
      </w:rPr>
    </w:tblStylePr>
    <w:tblStylePr w:type="band1Vert">
      <w:tblPr/>
      <w:tcPr>
        <w:shd w:val="clear" w:color="auto" w:fill="EAF1DD" w:themeFill="accent3" w:themeFillTint="33"/>
      </w:tcPr>
    </w:tblStylePr>
    <w:tblStylePr w:type="band1Horz">
      <w:tblPr/>
      <w:tcPr>
        <w:shd w:val="clear" w:color="auto" w:fill="EAF1DD" w:themeFill="accent3" w:themeFillTint="33"/>
      </w:tcPr>
    </w:tblStylePr>
  </w:style>
  <w:style w:type="table" w:styleId="ListTable4-Accent4">
    <w:name w:val="List Table 4 Accent 4"/>
    <w:basedOn w:val="TableNormal"/>
    <w:uiPriority w:val="49"/>
    <w:rsid w:val="00167B18"/>
    <w:pPr>
      <w:spacing w:after="0" w:line="240" w:lineRule="auto"/>
    </w:pPr>
    <w:tblPr>
      <w:tblStyleRowBandSize w:val="1"/>
      <w:tblStyleColBandSize w:val="1"/>
      <w:tblBorders>
        <w:top w:val="single" w:sz="4" w:space="0" w:color="B2A1C7" w:themeColor="accent4" w:themeTint="99"/>
        <w:left w:val="single" w:sz="4" w:space="0" w:color="B2A1C7" w:themeColor="accent4" w:themeTint="99"/>
        <w:bottom w:val="single" w:sz="4" w:space="0" w:color="B2A1C7" w:themeColor="accent4" w:themeTint="99"/>
        <w:right w:val="single" w:sz="4" w:space="0" w:color="B2A1C7" w:themeColor="accent4" w:themeTint="99"/>
        <w:insideH w:val="single" w:sz="4" w:space="0" w:color="B2A1C7" w:themeColor="accent4" w:themeTint="99"/>
      </w:tblBorders>
    </w:tblPr>
    <w:tblStylePr w:type="firstRow">
      <w:rPr>
        <w:b/>
        <w:bCs/>
        <w:color w:val="FFFFFF" w:themeColor="background1"/>
      </w:rPr>
      <w:tblPr/>
      <w:tcPr>
        <w:tcBorders>
          <w:top w:val="single" w:sz="4" w:space="0" w:color="8064A2" w:themeColor="accent4"/>
          <w:left w:val="single" w:sz="4" w:space="0" w:color="8064A2" w:themeColor="accent4"/>
          <w:bottom w:val="single" w:sz="4" w:space="0" w:color="8064A2" w:themeColor="accent4"/>
          <w:right w:val="single" w:sz="4" w:space="0" w:color="8064A2" w:themeColor="accent4"/>
          <w:insideH w:val="nil"/>
        </w:tcBorders>
        <w:shd w:val="clear" w:color="auto" w:fill="8064A2" w:themeFill="accent4"/>
      </w:tcPr>
    </w:tblStylePr>
    <w:tblStylePr w:type="lastRow">
      <w:rPr>
        <w:b/>
        <w:bCs/>
      </w:rPr>
      <w:tblPr/>
      <w:tcPr>
        <w:tcBorders>
          <w:top w:val="double" w:sz="4" w:space="0" w:color="B2A1C7" w:themeColor="accent4" w:themeTint="99"/>
        </w:tcBorders>
      </w:tcPr>
    </w:tblStylePr>
    <w:tblStylePr w:type="firstCol">
      <w:rPr>
        <w:b/>
        <w:bCs/>
      </w:rPr>
    </w:tblStylePr>
    <w:tblStylePr w:type="lastCol">
      <w:rPr>
        <w:b/>
        <w:bCs/>
      </w:rPr>
    </w:tblStylePr>
    <w:tblStylePr w:type="band1Vert">
      <w:tblPr/>
      <w:tcPr>
        <w:shd w:val="clear" w:color="auto" w:fill="E5DFEC" w:themeFill="accent4" w:themeFillTint="33"/>
      </w:tcPr>
    </w:tblStylePr>
    <w:tblStylePr w:type="band1Horz">
      <w:tblPr/>
      <w:tcPr>
        <w:shd w:val="clear" w:color="auto" w:fill="E5DFEC" w:themeFill="accent4" w:themeFillTint="33"/>
      </w:tcPr>
    </w:tblStylePr>
  </w:style>
  <w:style w:type="table" w:styleId="ListTable4-Accent5">
    <w:name w:val="List Table 4 Accent 5"/>
    <w:basedOn w:val="TableNormal"/>
    <w:uiPriority w:val="49"/>
    <w:rsid w:val="00167B18"/>
    <w:pPr>
      <w:spacing w:after="0" w:line="240" w:lineRule="auto"/>
    </w:pPr>
    <w:tblPr>
      <w:tblStyleRowBandSize w:val="1"/>
      <w:tblStyleColBandSize w:val="1"/>
      <w:tblBorders>
        <w:top w:val="single" w:sz="4" w:space="0" w:color="92CDDC" w:themeColor="accent5" w:themeTint="99"/>
        <w:left w:val="single" w:sz="4" w:space="0" w:color="92CDDC" w:themeColor="accent5" w:themeTint="99"/>
        <w:bottom w:val="single" w:sz="4" w:space="0" w:color="92CDDC" w:themeColor="accent5" w:themeTint="99"/>
        <w:right w:val="single" w:sz="4" w:space="0" w:color="92CDDC" w:themeColor="accent5" w:themeTint="99"/>
        <w:insideH w:val="single" w:sz="4" w:space="0" w:color="92CDDC" w:themeColor="accent5" w:themeTint="99"/>
      </w:tblBorders>
    </w:tblPr>
    <w:tblStylePr w:type="firstRow">
      <w:rPr>
        <w:b/>
        <w:bCs/>
        <w:color w:val="FFFFFF" w:themeColor="background1"/>
      </w:rPr>
      <w:tblPr/>
      <w:tcPr>
        <w:tcBorders>
          <w:top w:val="single" w:sz="4" w:space="0" w:color="4BACC6" w:themeColor="accent5"/>
          <w:left w:val="single" w:sz="4" w:space="0" w:color="4BACC6" w:themeColor="accent5"/>
          <w:bottom w:val="single" w:sz="4" w:space="0" w:color="4BACC6" w:themeColor="accent5"/>
          <w:right w:val="single" w:sz="4" w:space="0" w:color="4BACC6" w:themeColor="accent5"/>
          <w:insideH w:val="nil"/>
        </w:tcBorders>
        <w:shd w:val="clear" w:color="auto" w:fill="4BACC6" w:themeFill="accent5"/>
      </w:tcPr>
    </w:tblStylePr>
    <w:tblStylePr w:type="lastRow">
      <w:rPr>
        <w:b/>
        <w:bCs/>
      </w:rPr>
      <w:tblPr/>
      <w:tcPr>
        <w:tcBorders>
          <w:top w:val="double" w:sz="4" w:space="0" w:color="92CDDC" w:themeColor="accent5" w:themeTint="99"/>
        </w:tcBorders>
      </w:tcPr>
    </w:tblStylePr>
    <w:tblStylePr w:type="firstCol">
      <w:rPr>
        <w:b/>
        <w:bCs/>
      </w:rPr>
    </w:tblStylePr>
    <w:tblStylePr w:type="lastCol">
      <w:rPr>
        <w:b/>
        <w:bCs/>
      </w:rPr>
    </w:tblStylePr>
    <w:tblStylePr w:type="band1Vert">
      <w:tblPr/>
      <w:tcPr>
        <w:shd w:val="clear" w:color="auto" w:fill="DAEEF3" w:themeFill="accent5" w:themeFillTint="33"/>
      </w:tcPr>
    </w:tblStylePr>
    <w:tblStylePr w:type="band1Horz">
      <w:tblPr/>
      <w:tcPr>
        <w:shd w:val="clear" w:color="auto" w:fill="DAEEF3" w:themeFill="accent5" w:themeFillTint="33"/>
      </w:tcPr>
    </w:tblStylePr>
  </w:style>
  <w:style w:type="table" w:styleId="ListTable4-Accent6">
    <w:name w:val="List Table 4 Accent 6"/>
    <w:basedOn w:val="TableNormal"/>
    <w:uiPriority w:val="49"/>
    <w:rsid w:val="00167B18"/>
    <w:pPr>
      <w:spacing w:after="0" w:line="240" w:lineRule="auto"/>
    </w:pPr>
    <w:tblPr>
      <w:tblStyleRowBandSize w:val="1"/>
      <w:tblStyleColBandSize w:val="1"/>
      <w:tblBorders>
        <w:top w:val="single" w:sz="4" w:space="0" w:color="FABF8F" w:themeColor="accent6" w:themeTint="99"/>
        <w:left w:val="single" w:sz="4" w:space="0" w:color="FABF8F" w:themeColor="accent6" w:themeTint="99"/>
        <w:bottom w:val="single" w:sz="4" w:space="0" w:color="FABF8F" w:themeColor="accent6" w:themeTint="99"/>
        <w:right w:val="single" w:sz="4" w:space="0" w:color="FABF8F" w:themeColor="accent6" w:themeTint="99"/>
        <w:insideH w:val="single" w:sz="4" w:space="0" w:color="FABF8F" w:themeColor="accent6" w:themeTint="99"/>
      </w:tblBorders>
    </w:tblPr>
    <w:tblStylePr w:type="firstRow">
      <w:rPr>
        <w:b/>
        <w:bCs/>
        <w:color w:val="FFFFFF" w:themeColor="background1"/>
      </w:rPr>
      <w:tblPr/>
      <w:tcPr>
        <w:tcBorders>
          <w:top w:val="single" w:sz="4" w:space="0" w:color="F79646" w:themeColor="accent6"/>
          <w:left w:val="single" w:sz="4" w:space="0" w:color="F79646" w:themeColor="accent6"/>
          <w:bottom w:val="single" w:sz="4" w:space="0" w:color="F79646" w:themeColor="accent6"/>
          <w:right w:val="single" w:sz="4" w:space="0" w:color="F79646" w:themeColor="accent6"/>
          <w:insideH w:val="nil"/>
        </w:tcBorders>
        <w:shd w:val="clear" w:color="auto" w:fill="F79646" w:themeFill="accent6"/>
      </w:tcPr>
    </w:tblStylePr>
    <w:tblStylePr w:type="lastRow">
      <w:rPr>
        <w:b/>
        <w:bCs/>
      </w:rPr>
      <w:tblPr/>
      <w:tcPr>
        <w:tcBorders>
          <w:top w:val="double" w:sz="4" w:space="0" w:color="FABF8F" w:themeColor="accent6" w:themeTint="99"/>
        </w:tcBorders>
      </w:tcPr>
    </w:tblStylePr>
    <w:tblStylePr w:type="firstCol">
      <w:rPr>
        <w:b/>
        <w:bCs/>
      </w:rPr>
    </w:tblStylePr>
    <w:tblStylePr w:type="lastCol">
      <w:rPr>
        <w:b/>
        <w:bCs/>
      </w:rPr>
    </w:tblStylePr>
    <w:tblStylePr w:type="band1Vert">
      <w:tblPr/>
      <w:tcPr>
        <w:shd w:val="clear" w:color="auto" w:fill="FDE9D9" w:themeFill="accent6" w:themeFillTint="33"/>
      </w:tcPr>
    </w:tblStylePr>
    <w:tblStylePr w:type="band1Horz">
      <w:tblPr/>
      <w:tcPr>
        <w:shd w:val="clear" w:color="auto" w:fill="FDE9D9" w:themeFill="accent6" w:themeFillTint="33"/>
      </w:tcPr>
    </w:tblStylePr>
  </w:style>
  <w:style w:type="table" w:styleId="ListTable5Dark">
    <w:name w:val="List Table 5 Dark"/>
    <w:basedOn w:val="TableNormal"/>
    <w:uiPriority w:val="50"/>
    <w:rsid w:val="00167B18"/>
    <w:pPr>
      <w:spacing w:after="0" w:line="240" w:lineRule="auto"/>
    </w:pPr>
    <w:rPr>
      <w:color w:val="FFFFFF" w:themeColor="background1"/>
    </w:rPr>
    <w:tblPr>
      <w:tblStyleRowBandSize w:val="1"/>
      <w:tblStyleColBandSize w:val="1"/>
      <w:tblBorders>
        <w:top w:val="single" w:sz="24" w:space="0" w:color="000000" w:themeColor="text1"/>
        <w:left w:val="single" w:sz="24" w:space="0" w:color="000000" w:themeColor="text1"/>
        <w:bottom w:val="single" w:sz="24" w:space="0" w:color="000000" w:themeColor="text1"/>
        <w:right w:val="single" w:sz="24" w:space="0" w:color="000000" w:themeColor="text1"/>
      </w:tblBorders>
    </w:tblPr>
    <w:tcPr>
      <w:shd w:val="clear" w:color="auto" w:fill="000000" w:themeFill="text1"/>
    </w:tcPr>
    <w:tblStylePr w:type="firstRow">
      <w:rPr>
        <w:b/>
        <w:bCs/>
      </w:rPr>
      <w:tblPr/>
      <w:tcPr>
        <w:tcBorders>
          <w:bottom w:val="single" w:sz="18" w:space="0" w:color="FFFFFF" w:themeColor="background1"/>
        </w:tcBorders>
      </w:tcPr>
    </w:tblStylePr>
    <w:tblStylePr w:type="lastRow">
      <w:rPr>
        <w:b/>
        <w:bCs/>
      </w:rPr>
      <w:tblPr/>
      <w:tcPr>
        <w:tcBorders>
          <w:top w:val="single" w:sz="4" w:space="0" w:color="FFFFFF" w:themeColor="background1"/>
        </w:tcBorders>
      </w:tcPr>
    </w:tblStylePr>
    <w:tblStylePr w:type="firstCol">
      <w:rPr>
        <w:b/>
        <w:bCs/>
      </w:rPr>
      <w:tblPr/>
      <w:tcPr>
        <w:tcBorders>
          <w:right w:val="single" w:sz="4" w:space="0" w:color="FFFFFF" w:themeColor="background1"/>
        </w:tcBorders>
      </w:tcPr>
    </w:tblStylePr>
    <w:tblStylePr w:type="lastCol">
      <w:rPr>
        <w:b/>
        <w:bCs/>
      </w:rPr>
      <w:tblPr/>
      <w:tcPr>
        <w:tcBorders>
          <w:left w:val="single" w:sz="4" w:space="0" w:color="FFFFFF" w:themeColor="background1"/>
        </w:tcBorders>
      </w:tcPr>
    </w:tblStylePr>
    <w:tblStylePr w:type="band1Vert">
      <w:tblPr/>
      <w:tcPr>
        <w:tcBorders>
          <w:left w:val="single" w:sz="4" w:space="0" w:color="FFFFFF" w:themeColor="background1"/>
          <w:right w:val="single" w:sz="4" w:space="0" w:color="FFFFFF" w:themeColor="background1"/>
        </w:tcBorders>
      </w:tcPr>
    </w:tblStylePr>
    <w:tblStylePr w:type="band2Vert">
      <w:tblPr/>
      <w:tcPr>
        <w:tcBorders>
          <w:left w:val="single" w:sz="4" w:space="0" w:color="FFFFFF" w:themeColor="background1"/>
          <w:right w:val="single" w:sz="4" w:space="0" w:color="FFFFFF" w:themeColor="background1"/>
        </w:tcBorders>
      </w:tcPr>
    </w:tblStylePr>
    <w:tblStylePr w:type="band1Horz">
      <w:tblPr/>
      <w:tcPr>
        <w:tcBorders>
          <w:top w:val="single" w:sz="4" w:space="0" w:color="FFFFFF" w:themeColor="background1"/>
          <w:bottom w:val="single" w:sz="4" w:space="0" w:color="FFFFFF" w:themeColor="background1"/>
        </w:tcBorders>
      </w:tcPr>
    </w:tblStylePr>
    <w:tblStylePr w:type="neCell">
      <w:tblPr/>
      <w:tcPr>
        <w:tcBorders>
          <w:left w:val="nil"/>
        </w:tcBorders>
      </w:tcPr>
    </w:tblStylePr>
    <w:tblStylePr w:type="nwCell">
      <w:tblPr/>
      <w:tcPr>
        <w:tcBorders>
          <w:right w:val="nil"/>
        </w:tcBorders>
      </w:tcPr>
    </w:tblStylePr>
    <w:tblStylePr w:type="seCell">
      <w:tblPr/>
      <w:tcPr>
        <w:tcBorders>
          <w:top w:val="nil"/>
          <w:left w:val="nil"/>
        </w:tcBorders>
      </w:tcPr>
    </w:tblStylePr>
    <w:tblStylePr w:type="swCell">
      <w:tblPr/>
      <w:tcPr>
        <w:tcBorders>
          <w:top w:val="nil"/>
          <w:right w:val="nil"/>
        </w:tcBorders>
      </w:tcPr>
    </w:tblStylePr>
  </w:style>
  <w:style w:type="table" w:styleId="ListTable5Dark-Accent1">
    <w:name w:val="List Table 5 Dark Accent 1"/>
    <w:basedOn w:val="TableNormal"/>
    <w:uiPriority w:val="50"/>
    <w:rsid w:val="00167B18"/>
    <w:pPr>
      <w:spacing w:after="0" w:line="240" w:lineRule="auto"/>
    </w:pPr>
    <w:rPr>
      <w:color w:val="FFFFFF" w:themeColor="background1"/>
    </w:rPr>
    <w:tblPr>
      <w:tblStyleRowBandSize w:val="1"/>
      <w:tblStyleColBandSize w:val="1"/>
      <w:tblBorders>
        <w:top w:val="single" w:sz="24" w:space="0" w:color="4F81BD" w:themeColor="accent1"/>
        <w:left w:val="single" w:sz="24" w:space="0" w:color="4F81BD" w:themeColor="accent1"/>
        <w:bottom w:val="single" w:sz="24" w:space="0" w:color="4F81BD" w:themeColor="accent1"/>
        <w:right w:val="single" w:sz="24" w:space="0" w:color="4F81BD" w:themeColor="accent1"/>
      </w:tblBorders>
    </w:tblPr>
    <w:tcPr>
      <w:shd w:val="clear" w:color="auto" w:fill="4F81BD" w:themeFill="accent1"/>
    </w:tcPr>
    <w:tblStylePr w:type="firstRow">
      <w:rPr>
        <w:b/>
        <w:bCs/>
      </w:rPr>
      <w:tblPr/>
      <w:tcPr>
        <w:tcBorders>
          <w:bottom w:val="single" w:sz="18" w:space="0" w:color="FFFFFF" w:themeColor="background1"/>
        </w:tcBorders>
      </w:tcPr>
    </w:tblStylePr>
    <w:tblStylePr w:type="lastRow">
      <w:rPr>
        <w:b/>
        <w:bCs/>
      </w:rPr>
      <w:tblPr/>
      <w:tcPr>
        <w:tcBorders>
          <w:top w:val="single" w:sz="4" w:space="0" w:color="FFFFFF" w:themeColor="background1"/>
        </w:tcBorders>
      </w:tcPr>
    </w:tblStylePr>
    <w:tblStylePr w:type="firstCol">
      <w:rPr>
        <w:b/>
        <w:bCs/>
      </w:rPr>
      <w:tblPr/>
      <w:tcPr>
        <w:tcBorders>
          <w:right w:val="single" w:sz="4" w:space="0" w:color="FFFFFF" w:themeColor="background1"/>
        </w:tcBorders>
      </w:tcPr>
    </w:tblStylePr>
    <w:tblStylePr w:type="lastCol">
      <w:rPr>
        <w:b/>
        <w:bCs/>
      </w:rPr>
      <w:tblPr/>
      <w:tcPr>
        <w:tcBorders>
          <w:left w:val="single" w:sz="4" w:space="0" w:color="FFFFFF" w:themeColor="background1"/>
        </w:tcBorders>
      </w:tcPr>
    </w:tblStylePr>
    <w:tblStylePr w:type="band1Vert">
      <w:tblPr/>
      <w:tcPr>
        <w:tcBorders>
          <w:left w:val="single" w:sz="4" w:space="0" w:color="FFFFFF" w:themeColor="background1"/>
          <w:right w:val="single" w:sz="4" w:space="0" w:color="FFFFFF" w:themeColor="background1"/>
        </w:tcBorders>
      </w:tcPr>
    </w:tblStylePr>
    <w:tblStylePr w:type="band2Vert">
      <w:tblPr/>
      <w:tcPr>
        <w:tcBorders>
          <w:left w:val="single" w:sz="4" w:space="0" w:color="FFFFFF" w:themeColor="background1"/>
          <w:right w:val="single" w:sz="4" w:space="0" w:color="FFFFFF" w:themeColor="background1"/>
        </w:tcBorders>
      </w:tcPr>
    </w:tblStylePr>
    <w:tblStylePr w:type="band1Horz">
      <w:tblPr/>
      <w:tcPr>
        <w:tcBorders>
          <w:top w:val="single" w:sz="4" w:space="0" w:color="FFFFFF" w:themeColor="background1"/>
          <w:bottom w:val="single" w:sz="4" w:space="0" w:color="FFFFFF" w:themeColor="background1"/>
        </w:tcBorders>
      </w:tcPr>
    </w:tblStylePr>
    <w:tblStylePr w:type="neCell">
      <w:tblPr/>
      <w:tcPr>
        <w:tcBorders>
          <w:left w:val="nil"/>
        </w:tcBorders>
      </w:tcPr>
    </w:tblStylePr>
    <w:tblStylePr w:type="nwCell">
      <w:tblPr/>
      <w:tcPr>
        <w:tcBorders>
          <w:right w:val="nil"/>
        </w:tcBorders>
      </w:tcPr>
    </w:tblStylePr>
    <w:tblStylePr w:type="seCell">
      <w:tblPr/>
      <w:tcPr>
        <w:tcBorders>
          <w:top w:val="nil"/>
          <w:left w:val="nil"/>
        </w:tcBorders>
      </w:tcPr>
    </w:tblStylePr>
    <w:tblStylePr w:type="swCell">
      <w:tblPr/>
      <w:tcPr>
        <w:tcBorders>
          <w:top w:val="nil"/>
          <w:right w:val="nil"/>
        </w:tcBorders>
      </w:tcPr>
    </w:tblStylePr>
  </w:style>
  <w:style w:type="table" w:styleId="ListTable5Dark-Accent2">
    <w:name w:val="List Table 5 Dark Accent 2"/>
    <w:basedOn w:val="TableNormal"/>
    <w:uiPriority w:val="50"/>
    <w:rsid w:val="00167B18"/>
    <w:pPr>
      <w:spacing w:after="0" w:line="240" w:lineRule="auto"/>
    </w:pPr>
    <w:rPr>
      <w:color w:val="FFFFFF" w:themeColor="background1"/>
    </w:rPr>
    <w:tblPr>
      <w:tblStyleRowBandSize w:val="1"/>
      <w:tblStyleColBandSize w:val="1"/>
      <w:tblBorders>
        <w:top w:val="single" w:sz="24" w:space="0" w:color="C0504D" w:themeColor="accent2"/>
        <w:left w:val="single" w:sz="24" w:space="0" w:color="C0504D" w:themeColor="accent2"/>
        <w:bottom w:val="single" w:sz="24" w:space="0" w:color="C0504D" w:themeColor="accent2"/>
        <w:right w:val="single" w:sz="24" w:space="0" w:color="C0504D" w:themeColor="accent2"/>
      </w:tblBorders>
    </w:tblPr>
    <w:tcPr>
      <w:shd w:val="clear" w:color="auto" w:fill="C0504D" w:themeFill="accent2"/>
    </w:tcPr>
    <w:tblStylePr w:type="firstRow">
      <w:rPr>
        <w:b/>
        <w:bCs/>
      </w:rPr>
      <w:tblPr/>
      <w:tcPr>
        <w:tcBorders>
          <w:bottom w:val="single" w:sz="18" w:space="0" w:color="FFFFFF" w:themeColor="background1"/>
        </w:tcBorders>
      </w:tcPr>
    </w:tblStylePr>
    <w:tblStylePr w:type="lastRow">
      <w:rPr>
        <w:b/>
        <w:bCs/>
      </w:rPr>
      <w:tblPr/>
      <w:tcPr>
        <w:tcBorders>
          <w:top w:val="single" w:sz="4" w:space="0" w:color="FFFFFF" w:themeColor="background1"/>
        </w:tcBorders>
      </w:tcPr>
    </w:tblStylePr>
    <w:tblStylePr w:type="firstCol">
      <w:rPr>
        <w:b/>
        <w:bCs/>
      </w:rPr>
      <w:tblPr/>
      <w:tcPr>
        <w:tcBorders>
          <w:right w:val="single" w:sz="4" w:space="0" w:color="FFFFFF" w:themeColor="background1"/>
        </w:tcBorders>
      </w:tcPr>
    </w:tblStylePr>
    <w:tblStylePr w:type="lastCol">
      <w:rPr>
        <w:b/>
        <w:bCs/>
      </w:rPr>
      <w:tblPr/>
      <w:tcPr>
        <w:tcBorders>
          <w:left w:val="single" w:sz="4" w:space="0" w:color="FFFFFF" w:themeColor="background1"/>
        </w:tcBorders>
      </w:tcPr>
    </w:tblStylePr>
    <w:tblStylePr w:type="band1Vert">
      <w:tblPr/>
      <w:tcPr>
        <w:tcBorders>
          <w:left w:val="single" w:sz="4" w:space="0" w:color="FFFFFF" w:themeColor="background1"/>
          <w:right w:val="single" w:sz="4" w:space="0" w:color="FFFFFF" w:themeColor="background1"/>
        </w:tcBorders>
      </w:tcPr>
    </w:tblStylePr>
    <w:tblStylePr w:type="band2Vert">
      <w:tblPr/>
      <w:tcPr>
        <w:tcBorders>
          <w:left w:val="single" w:sz="4" w:space="0" w:color="FFFFFF" w:themeColor="background1"/>
          <w:right w:val="single" w:sz="4" w:space="0" w:color="FFFFFF" w:themeColor="background1"/>
        </w:tcBorders>
      </w:tcPr>
    </w:tblStylePr>
    <w:tblStylePr w:type="band1Horz">
      <w:tblPr/>
      <w:tcPr>
        <w:tcBorders>
          <w:top w:val="single" w:sz="4" w:space="0" w:color="FFFFFF" w:themeColor="background1"/>
          <w:bottom w:val="single" w:sz="4" w:space="0" w:color="FFFFFF" w:themeColor="background1"/>
        </w:tcBorders>
      </w:tcPr>
    </w:tblStylePr>
    <w:tblStylePr w:type="neCell">
      <w:tblPr/>
      <w:tcPr>
        <w:tcBorders>
          <w:left w:val="nil"/>
        </w:tcBorders>
      </w:tcPr>
    </w:tblStylePr>
    <w:tblStylePr w:type="nwCell">
      <w:tblPr/>
      <w:tcPr>
        <w:tcBorders>
          <w:right w:val="nil"/>
        </w:tcBorders>
      </w:tcPr>
    </w:tblStylePr>
    <w:tblStylePr w:type="seCell">
      <w:tblPr/>
      <w:tcPr>
        <w:tcBorders>
          <w:top w:val="nil"/>
          <w:left w:val="nil"/>
        </w:tcBorders>
      </w:tcPr>
    </w:tblStylePr>
    <w:tblStylePr w:type="swCell">
      <w:tblPr/>
      <w:tcPr>
        <w:tcBorders>
          <w:top w:val="nil"/>
          <w:right w:val="nil"/>
        </w:tcBorders>
      </w:tcPr>
    </w:tblStylePr>
  </w:style>
  <w:style w:type="table" w:styleId="ListTable5Dark-Accent3">
    <w:name w:val="List Table 5 Dark Accent 3"/>
    <w:basedOn w:val="TableNormal"/>
    <w:uiPriority w:val="50"/>
    <w:rsid w:val="00167B18"/>
    <w:pPr>
      <w:spacing w:after="0" w:line="240" w:lineRule="auto"/>
    </w:pPr>
    <w:rPr>
      <w:color w:val="FFFFFF" w:themeColor="background1"/>
    </w:rPr>
    <w:tblPr>
      <w:tblStyleRowBandSize w:val="1"/>
      <w:tblStyleColBandSize w:val="1"/>
      <w:tblBorders>
        <w:top w:val="single" w:sz="24" w:space="0" w:color="9BBB59" w:themeColor="accent3"/>
        <w:left w:val="single" w:sz="24" w:space="0" w:color="9BBB59" w:themeColor="accent3"/>
        <w:bottom w:val="single" w:sz="24" w:space="0" w:color="9BBB59" w:themeColor="accent3"/>
        <w:right w:val="single" w:sz="24" w:space="0" w:color="9BBB59" w:themeColor="accent3"/>
      </w:tblBorders>
    </w:tblPr>
    <w:tcPr>
      <w:shd w:val="clear" w:color="auto" w:fill="9BBB59" w:themeFill="accent3"/>
    </w:tcPr>
    <w:tblStylePr w:type="firstRow">
      <w:rPr>
        <w:b/>
        <w:bCs/>
      </w:rPr>
      <w:tblPr/>
      <w:tcPr>
        <w:tcBorders>
          <w:bottom w:val="single" w:sz="18" w:space="0" w:color="FFFFFF" w:themeColor="background1"/>
        </w:tcBorders>
      </w:tcPr>
    </w:tblStylePr>
    <w:tblStylePr w:type="lastRow">
      <w:rPr>
        <w:b/>
        <w:bCs/>
      </w:rPr>
      <w:tblPr/>
      <w:tcPr>
        <w:tcBorders>
          <w:top w:val="single" w:sz="4" w:space="0" w:color="FFFFFF" w:themeColor="background1"/>
        </w:tcBorders>
      </w:tcPr>
    </w:tblStylePr>
    <w:tblStylePr w:type="firstCol">
      <w:rPr>
        <w:b/>
        <w:bCs/>
      </w:rPr>
      <w:tblPr/>
      <w:tcPr>
        <w:tcBorders>
          <w:right w:val="single" w:sz="4" w:space="0" w:color="FFFFFF" w:themeColor="background1"/>
        </w:tcBorders>
      </w:tcPr>
    </w:tblStylePr>
    <w:tblStylePr w:type="lastCol">
      <w:rPr>
        <w:b/>
        <w:bCs/>
      </w:rPr>
      <w:tblPr/>
      <w:tcPr>
        <w:tcBorders>
          <w:left w:val="single" w:sz="4" w:space="0" w:color="FFFFFF" w:themeColor="background1"/>
        </w:tcBorders>
      </w:tcPr>
    </w:tblStylePr>
    <w:tblStylePr w:type="band1Vert">
      <w:tblPr/>
      <w:tcPr>
        <w:tcBorders>
          <w:left w:val="single" w:sz="4" w:space="0" w:color="FFFFFF" w:themeColor="background1"/>
          <w:right w:val="single" w:sz="4" w:space="0" w:color="FFFFFF" w:themeColor="background1"/>
        </w:tcBorders>
      </w:tcPr>
    </w:tblStylePr>
    <w:tblStylePr w:type="band2Vert">
      <w:tblPr/>
      <w:tcPr>
        <w:tcBorders>
          <w:left w:val="single" w:sz="4" w:space="0" w:color="FFFFFF" w:themeColor="background1"/>
          <w:right w:val="single" w:sz="4" w:space="0" w:color="FFFFFF" w:themeColor="background1"/>
        </w:tcBorders>
      </w:tcPr>
    </w:tblStylePr>
    <w:tblStylePr w:type="band1Horz">
      <w:tblPr/>
      <w:tcPr>
        <w:tcBorders>
          <w:top w:val="single" w:sz="4" w:space="0" w:color="FFFFFF" w:themeColor="background1"/>
          <w:bottom w:val="single" w:sz="4" w:space="0" w:color="FFFFFF" w:themeColor="background1"/>
        </w:tcBorders>
      </w:tcPr>
    </w:tblStylePr>
    <w:tblStylePr w:type="neCell">
      <w:tblPr/>
      <w:tcPr>
        <w:tcBorders>
          <w:left w:val="nil"/>
        </w:tcBorders>
      </w:tcPr>
    </w:tblStylePr>
    <w:tblStylePr w:type="nwCell">
      <w:tblPr/>
      <w:tcPr>
        <w:tcBorders>
          <w:right w:val="nil"/>
        </w:tcBorders>
      </w:tcPr>
    </w:tblStylePr>
    <w:tblStylePr w:type="seCell">
      <w:tblPr/>
      <w:tcPr>
        <w:tcBorders>
          <w:top w:val="nil"/>
          <w:left w:val="nil"/>
        </w:tcBorders>
      </w:tcPr>
    </w:tblStylePr>
    <w:tblStylePr w:type="swCell">
      <w:tblPr/>
      <w:tcPr>
        <w:tcBorders>
          <w:top w:val="nil"/>
          <w:right w:val="nil"/>
        </w:tcBorders>
      </w:tcPr>
    </w:tblStylePr>
  </w:style>
  <w:style w:type="table" w:styleId="ListTable5Dark-Accent4">
    <w:name w:val="List Table 5 Dark Accent 4"/>
    <w:basedOn w:val="TableNormal"/>
    <w:uiPriority w:val="50"/>
    <w:rsid w:val="00167B18"/>
    <w:pPr>
      <w:spacing w:after="0" w:line="240" w:lineRule="auto"/>
    </w:pPr>
    <w:rPr>
      <w:color w:val="FFFFFF" w:themeColor="background1"/>
    </w:rPr>
    <w:tblPr>
      <w:tblStyleRowBandSize w:val="1"/>
      <w:tblStyleColBandSize w:val="1"/>
      <w:tblBorders>
        <w:top w:val="single" w:sz="24" w:space="0" w:color="8064A2" w:themeColor="accent4"/>
        <w:left w:val="single" w:sz="24" w:space="0" w:color="8064A2" w:themeColor="accent4"/>
        <w:bottom w:val="single" w:sz="24" w:space="0" w:color="8064A2" w:themeColor="accent4"/>
        <w:right w:val="single" w:sz="24" w:space="0" w:color="8064A2" w:themeColor="accent4"/>
      </w:tblBorders>
    </w:tblPr>
    <w:tcPr>
      <w:shd w:val="clear" w:color="auto" w:fill="8064A2" w:themeFill="accent4"/>
    </w:tcPr>
    <w:tblStylePr w:type="firstRow">
      <w:rPr>
        <w:b/>
        <w:bCs/>
      </w:rPr>
      <w:tblPr/>
      <w:tcPr>
        <w:tcBorders>
          <w:bottom w:val="single" w:sz="18" w:space="0" w:color="FFFFFF" w:themeColor="background1"/>
        </w:tcBorders>
      </w:tcPr>
    </w:tblStylePr>
    <w:tblStylePr w:type="lastRow">
      <w:rPr>
        <w:b/>
        <w:bCs/>
      </w:rPr>
      <w:tblPr/>
      <w:tcPr>
        <w:tcBorders>
          <w:top w:val="single" w:sz="4" w:space="0" w:color="FFFFFF" w:themeColor="background1"/>
        </w:tcBorders>
      </w:tcPr>
    </w:tblStylePr>
    <w:tblStylePr w:type="firstCol">
      <w:rPr>
        <w:b/>
        <w:bCs/>
      </w:rPr>
      <w:tblPr/>
      <w:tcPr>
        <w:tcBorders>
          <w:right w:val="single" w:sz="4" w:space="0" w:color="FFFFFF" w:themeColor="background1"/>
        </w:tcBorders>
      </w:tcPr>
    </w:tblStylePr>
    <w:tblStylePr w:type="lastCol">
      <w:rPr>
        <w:b/>
        <w:bCs/>
      </w:rPr>
      <w:tblPr/>
      <w:tcPr>
        <w:tcBorders>
          <w:left w:val="single" w:sz="4" w:space="0" w:color="FFFFFF" w:themeColor="background1"/>
        </w:tcBorders>
      </w:tcPr>
    </w:tblStylePr>
    <w:tblStylePr w:type="band1Vert">
      <w:tblPr/>
      <w:tcPr>
        <w:tcBorders>
          <w:left w:val="single" w:sz="4" w:space="0" w:color="FFFFFF" w:themeColor="background1"/>
          <w:right w:val="single" w:sz="4" w:space="0" w:color="FFFFFF" w:themeColor="background1"/>
        </w:tcBorders>
      </w:tcPr>
    </w:tblStylePr>
    <w:tblStylePr w:type="band2Vert">
      <w:tblPr/>
      <w:tcPr>
        <w:tcBorders>
          <w:left w:val="single" w:sz="4" w:space="0" w:color="FFFFFF" w:themeColor="background1"/>
          <w:right w:val="single" w:sz="4" w:space="0" w:color="FFFFFF" w:themeColor="background1"/>
        </w:tcBorders>
      </w:tcPr>
    </w:tblStylePr>
    <w:tblStylePr w:type="band1Horz">
      <w:tblPr/>
      <w:tcPr>
        <w:tcBorders>
          <w:top w:val="single" w:sz="4" w:space="0" w:color="FFFFFF" w:themeColor="background1"/>
          <w:bottom w:val="single" w:sz="4" w:space="0" w:color="FFFFFF" w:themeColor="background1"/>
        </w:tcBorders>
      </w:tcPr>
    </w:tblStylePr>
    <w:tblStylePr w:type="neCell">
      <w:tblPr/>
      <w:tcPr>
        <w:tcBorders>
          <w:left w:val="nil"/>
        </w:tcBorders>
      </w:tcPr>
    </w:tblStylePr>
    <w:tblStylePr w:type="nwCell">
      <w:tblPr/>
      <w:tcPr>
        <w:tcBorders>
          <w:right w:val="nil"/>
        </w:tcBorders>
      </w:tcPr>
    </w:tblStylePr>
    <w:tblStylePr w:type="seCell">
      <w:tblPr/>
      <w:tcPr>
        <w:tcBorders>
          <w:top w:val="nil"/>
          <w:left w:val="nil"/>
        </w:tcBorders>
      </w:tcPr>
    </w:tblStylePr>
    <w:tblStylePr w:type="swCell">
      <w:tblPr/>
      <w:tcPr>
        <w:tcBorders>
          <w:top w:val="nil"/>
          <w:right w:val="nil"/>
        </w:tcBorders>
      </w:tcPr>
    </w:tblStylePr>
  </w:style>
  <w:style w:type="table" w:styleId="ListTable5Dark-Accent5">
    <w:name w:val="List Table 5 Dark Accent 5"/>
    <w:basedOn w:val="TableNormal"/>
    <w:uiPriority w:val="50"/>
    <w:rsid w:val="00167B18"/>
    <w:pPr>
      <w:spacing w:after="0" w:line="240" w:lineRule="auto"/>
    </w:pPr>
    <w:rPr>
      <w:color w:val="FFFFFF" w:themeColor="background1"/>
    </w:rPr>
    <w:tblPr>
      <w:tblStyleRowBandSize w:val="1"/>
      <w:tblStyleColBandSize w:val="1"/>
      <w:tblBorders>
        <w:top w:val="single" w:sz="24" w:space="0" w:color="4BACC6" w:themeColor="accent5"/>
        <w:left w:val="single" w:sz="24" w:space="0" w:color="4BACC6" w:themeColor="accent5"/>
        <w:bottom w:val="single" w:sz="24" w:space="0" w:color="4BACC6" w:themeColor="accent5"/>
        <w:right w:val="single" w:sz="24" w:space="0" w:color="4BACC6" w:themeColor="accent5"/>
      </w:tblBorders>
    </w:tblPr>
    <w:tcPr>
      <w:shd w:val="clear" w:color="auto" w:fill="4BACC6" w:themeFill="accent5"/>
    </w:tcPr>
    <w:tblStylePr w:type="firstRow">
      <w:rPr>
        <w:b/>
        <w:bCs/>
      </w:rPr>
      <w:tblPr/>
      <w:tcPr>
        <w:tcBorders>
          <w:bottom w:val="single" w:sz="18" w:space="0" w:color="FFFFFF" w:themeColor="background1"/>
        </w:tcBorders>
      </w:tcPr>
    </w:tblStylePr>
    <w:tblStylePr w:type="lastRow">
      <w:rPr>
        <w:b/>
        <w:bCs/>
      </w:rPr>
      <w:tblPr/>
      <w:tcPr>
        <w:tcBorders>
          <w:top w:val="single" w:sz="4" w:space="0" w:color="FFFFFF" w:themeColor="background1"/>
        </w:tcBorders>
      </w:tcPr>
    </w:tblStylePr>
    <w:tblStylePr w:type="firstCol">
      <w:rPr>
        <w:b/>
        <w:bCs/>
      </w:rPr>
      <w:tblPr/>
      <w:tcPr>
        <w:tcBorders>
          <w:right w:val="single" w:sz="4" w:space="0" w:color="FFFFFF" w:themeColor="background1"/>
        </w:tcBorders>
      </w:tcPr>
    </w:tblStylePr>
    <w:tblStylePr w:type="lastCol">
      <w:rPr>
        <w:b/>
        <w:bCs/>
      </w:rPr>
      <w:tblPr/>
      <w:tcPr>
        <w:tcBorders>
          <w:left w:val="single" w:sz="4" w:space="0" w:color="FFFFFF" w:themeColor="background1"/>
        </w:tcBorders>
      </w:tcPr>
    </w:tblStylePr>
    <w:tblStylePr w:type="band1Vert">
      <w:tblPr/>
      <w:tcPr>
        <w:tcBorders>
          <w:left w:val="single" w:sz="4" w:space="0" w:color="FFFFFF" w:themeColor="background1"/>
          <w:right w:val="single" w:sz="4" w:space="0" w:color="FFFFFF" w:themeColor="background1"/>
        </w:tcBorders>
      </w:tcPr>
    </w:tblStylePr>
    <w:tblStylePr w:type="band2Vert">
      <w:tblPr/>
      <w:tcPr>
        <w:tcBorders>
          <w:left w:val="single" w:sz="4" w:space="0" w:color="FFFFFF" w:themeColor="background1"/>
          <w:right w:val="single" w:sz="4" w:space="0" w:color="FFFFFF" w:themeColor="background1"/>
        </w:tcBorders>
      </w:tcPr>
    </w:tblStylePr>
    <w:tblStylePr w:type="band1Horz">
      <w:tblPr/>
      <w:tcPr>
        <w:tcBorders>
          <w:top w:val="single" w:sz="4" w:space="0" w:color="FFFFFF" w:themeColor="background1"/>
          <w:bottom w:val="single" w:sz="4" w:space="0" w:color="FFFFFF" w:themeColor="background1"/>
        </w:tcBorders>
      </w:tcPr>
    </w:tblStylePr>
    <w:tblStylePr w:type="neCell">
      <w:tblPr/>
      <w:tcPr>
        <w:tcBorders>
          <w:left w:val="nil"/>
        </w:tcBorders>
      </w:tcPr>
    </w:tblStylePr>
    <w:tblStylePr w:type="nwCell">
      <w:tblPr/>
      <w:tcPr>
        <w:tcBorders>
          <w:right w:val="nil"/>
        </w:tcBorders>
      </w:tcPr>
    </w:tblStylePr>
    <w:tblStylePr w:type="seCell">
      <w:tblPr/>
      <w:tcPr>
        <w:tcBorders>
          <w:top w:val="nil"/>
          <w:left w:val="nil"/>
        </w:tcBorders>
      </w:tcPr>
    </w:tblStylePr>
    <w:tblStylePr w:type="swCell">
      <w:tblPr/>
      <w:tcPr>
        <w:tcBorders>
          <w:top w:val="nil"/>
          <w:right w:val="nil"/>
        </w:tcBorders>
      </w:tcPr>
    </w:tblStylePr>
  </w:style>
  <w:style w:type="table" w:styleId="ListTable5Dark-Accent6">
    <w:name w:val="List Table 5 Dark Accent 6"/>
    <w:basedOn w:val="TableNormal"/>
    <w:uiPriority w:val="50"/>
    <w:rsid w:val="00167B18"/>
    <w:pPr>
      <w:spacing w:after="0" w:line="240" w:lineRule="auto"/>
    </w:pPr>
    <w:rPr>
      <w:color w:val="FFFFFF" w:themeColor="background1"/>
    </w:rPr>
    <w:tblPr>
      <w:tblStyleRowBandSize w:val="1"/>
      <w:tblStyleColBandSize w:val="1"/>
      <w:tblBorders>
        <w:top w:val="single" w:sz="24" w:space="0" w:color="F79646" w:themeColor="accent6"/>
        <w:left w:val="single" w:sz="24" w:space="0" w:color="F79646" w:themeColor="accent6"/>
        <w:bottom w:val="single" w:sz="24" w:space="0" w:color="F79646" w:themeColor="accent6"/>
        <w:right w:val="single" w:sz="24" w:space="0" w:color="F79646" w:themeColor="accent6"/>
      </w:tblBorders>
    </w:tblPr>
    <w:tcPr>
      <w:shd w:val="clear" w:color="auto" w:fill="F79646" w:themeFill="accent6"/>
    </w:tcPr>
    <w:tblStylePr w:type="firstRow">
      <w:rPr>
        <w:b/>
        <w:bCs/>
      </w:rPr>
      <w:tblPr/>
      <w:tcPr>
        <w:tcBorders>
          <w:bottom w:val="single" w:sz="18" w:space="0" w:color="FFFFFF" w:themeColor="background1"/>
        </w:tcBorders>
      </w:tcPr>
    </w:tblStylePr>
    <w:tblStylePr w:type="lastRow">
      <w:rPr>
        <w:b/>
        <w:bCs/>
      </w:rPr>
      <w:tblPr/>
      <w:tcPr>
        <w:tcBorders>
          <w:top w:val="single" w:sz="4" w:space="0" w:color="FFFFFF" w:themeColor="background1"/>
        </w:tcBorders>
      </w:tcPr>
    </w:tblStylePr>
    <w:tblStylePr w:type="firstCol">
      <w:rPr>
        <w:b/>
        <w:bCs/>
      </w:rPr>
      <w:tblPr/>
      <w:tcPr>
        <w:tcBorders>
          <w:right w:val="single" w:sz="4" w:space="0" w:color="FFFFFF" w:themeColor="background1"/>
        </w:tcBorders>
      </w:tcPr>
    </w:tblStylePr>
    <w:tblStylePr w:type="lastCol">
      <w:rPr>
        <w:b/>
        <w:bCs/>
      </w:rPr>
      <w:tblPr/>
      <w:tcPr>
        <w:tcBorders>
          <w:left w:val="single" w:sz="4" w:space="0" w:color="FFFFFF" w:themeColor="background1"/>
        </w:tcBorders>
      </w:tcPr>
    </w:tblStylePr>
    <w:tblStylePr w:type="band1Vert">
      <w:tblPr/>
      <w:tcPr>
        <w:tcBorders>
          <w:left w:val="single" w:sz="4" w:space="0" w:color="FFFFFF" w:themeColor="background1"/>
          <w:right w:val="single" w:sz="4" w:space="0" w:color="FFFFFF" w:themeColor="background1"/>
        </w:tcBorders>
      </w:tcPr>
    </w:tblStylePr>
    <w:tblStylePr w:type="band2Vert">
      <w:tblPr/>
      <w:tcPr>
        <w:tcBorders>
          <w:left w:val="single" w:sz="4" w:space="0" w:color="FFFFFF" w:themeColor="background1"/>
          <w:right w:val="single" w:sz="4" w:space="0" w:color="FFFFFF" w:themeColor="background1"/>
        </w:tcBorders>
      </w:tcPr>
    </w:tblStylePr>
    <w:tblStylePr w:type="band1Horz">
      <w:tblPr/>
      <w:tcPr>
        <w:tcBorders>
          <w:top w:val="single" w:sz="4" w:space="0" w:color="FFFFFF" w:themeColor="background1"/>
          <w:bottom w:val="single" w:sz="4" w:space="0" w:color="FFFFFF" w:themeColor="background1"/>
        </w:tcBorders>
      </w:tcPr>
    </w:tblStylePr>
    <w:tblStylePr w:type="neCell">
      <w:tblPr/>
      <w:tcPr>
        <w:tcBorders>
          <w:left w:val="nil"/>
        </w:tcBorders>
      </w:tcPr>
    </w:tblStylePr>
    <w:tblStylePr w:type="nwCell">
      <w:tblPr/>
      <w:tcPr>
        <w:tcBorders>
          <w:right w:val="nil"/>
        </w:tcBorders>
      </w:tcPr>
    </w:tblStylePr>
    <w:tblStylePr w:type="seCell">
      <w:tblPr/>
      <w:tcPr>
        <w:tcBorders>
          <w:top w:val="nil"/>
          <w:left w:val="nil"/>
        </w:tcBorders>
      </w:tcPr>
    </w:tblStylePr>
    <w:tblStylePr w:type="swCell">
      <w:tblPr/>
      <w:tcPr>
        <w:tcBorders>
          <w:top w:val="nil"/>
          <w:right w:val="nil"/>
        </w:tcBorders>
      </w:tcPr>
    </w:tblStylePr>
  </w:style>
  <w:style w:type="table" w:styleId="ListTable6Colorful">
    <w:name w:val="List Table 6 Colorful"/>
    <w:basedOn w:val="TableNormal"/>
    <w:uiPriority w:val="51"/>
    <w:rsid w:val="00167B18"/>
    <w:pPr>
      <w:spacing w:after="0" w:line="240" w:lineRule="auto"/>
    </w:pPr>
    <w:rPr>
      <w:color w:val="000000" w:themeColor="text1"/>
    </w:rPr>
    <w:tblPr>
      <w:tblStyleRowBandSize w:val="1"/>
      <w:tblStyleColBandSize w:val="1"/>
      <w:tblBorders>
        <w:top w:val="single" w:sz="4" w:space="0" w:color="000000" w:themeColor="text1"/>
        <w:bottom w:val="single" w:sz="4" w:space="0" w:color="000000" w:themeColor="text1"/>
      </w:tblBorders>
    </w:tblPr>
    <w:tblStylePr w:type="firstRow">
      <w:rPr>
        <w:b/>
        <w:bCs/>
      </w:rPr>
      <w:tblPr/>
      <w:tcPr>
        <w:tcBorders>
          <w:bottom w:val="single" w:sz="4" w:space="0" w:color="000000" w:themeColor="text1"/>
        </w:tcBorders>
      </w:tcPr>
    </w:tblStylePr>
    <w:tblStylePr w:type="lastRow">
      <w:rPr>
        <w:b/>
        <w:bCs/>
      </w:rPr>
      <w:tblPr/>
      <w:tcPr>
        <w:tcBorders>
          <w:top w:val="double" w:sz="4" w:space="0" w:color="000000" w:themeColor="text1"/>
        </w:tcBorders>
      </w:tcPr>
    </w:tblStylePr>
    <w:tblStylePr w:type="firstCol">
      <w:rPr>
        <w:b/>
        <w:bCs/>
      </w:rPr>
    </w:tblStylePr>
    <w:tblStylePr w:type="lastCol">
      <w:rPr>
        <w:b/>
        <w:bCs/>
      </w:rPr>
    </w:tblStylePr>
    <w:tblStylePr w:type="band1Vert">
      <w:tblPr/>
      <w:tcPr>
        <w:shd w:val="clear" w:color="auto" w:fill="CCCCCC" w:themeFill="text1" w:themeFillTint="33"/>
      </w:tcPr>
    </w:tblStylePr>
    <w:tblStylePr w:type="band1Horz">
      <w:tblPr/>
      <w:tcPr>
        <w:shd w:val="clear" w:color="auto" w:fill="CCCCCC" w:themeFill="text1" w:themeFillTint="33"/>
      </w:tcPr>
    </w:tblStylePr>
  </w:style>
  <w:style w:type="table" w:styleId="ListTable6Colorful-Accent1">
    <w:name w:val="List Table 6 Colorful Accent 1"/>
    <w:basedOn w:val="TableNormal"/>
    <w:uiPriority w:val="51"/>
    <w:rsid w:val="00167B18"/>
    <w:pPr>
      <w:spacing w:after="0" w:line="240" w:lineRule="auto"/>
    </w:pPr>
    <w:rPr>
      <w:color w:val="365F91" w:themeColor="accent1" w:themeShade="BF"/>
    </w:rPr>
    <w:tblPr>
      <w:tblStyleRowBandSize w:val="1"/>
      <w:tblStyleColBandSize w:val="1"/>
      <w:tblBorders>
        <w:top w:val="single" w:sz="4" w:space="0" w:color="4F81BD" w:themeColor="accent1"/>
        <w:bottom w:val="single" w:sz="4" w:space="0" w:color="4F81BD" w:themeColor="accent1"/>
      </w:tblBorders>
    </w:tblPr>
    <w:tblStylePr w:type="firstRow">
      <w:rPr>
        <w:b/>
        <w:bCs/>
      </w:rPr>
      <w:tblPr/>
      <w:tcPr>
        <w:tcBorders>
          <w:bottom w:val="single" w:sz="4" w:space="0" w:color="4F81BD" w:themeColor="accent1"/>
        </w:tcBorders>
      </w:tcPr>
    </w:tblStylePr>
    <w:tblStylePr w:type="lastRow">
      <w:rPr>
        <w:b/>
        <w:bCs/>
      </w:rPr>
      <w:tblPr/>
      <w:tcPr>
        <w:tcBorders>
          <w:top w:val="double" w:sz="4" w:space="0" w:color="4F81BD" w:themeColor="accent1"/>
        </w:tcBorders>
      </w:tcPr>
    </w:tblStylePr>
    <w:tblStylePr w:type="firstCol">
      <w:rPr>
        <w:b/>
        <w:bCs/>
      </w:rPr>
    </w:tblStylePr>
    <w:tblStylePr w:type="lastCol">
      <w:rPr>
        <w:b/>
        <w:bCs/>
      </w:rPr>
    </w:tblStylePr>
    <w:tblStylePr w:type="band1Vert">
      <w:tblPr/>
      <w:tcPr>
        <w:shd w:val="clear" w:color="auto" w:fill="DBE5F1" w:themeFill="accent1" w:themeFillTint="33"/>
      </w:tcPr>
    </w:tblStylePr>
    <w:tblStylePr w:type="band1Horz">
      <w:tblPr/>
      <w:tcPr>
        <w:shd w:val="clear" w:color="auto" w:fill="DBE5F1" w:themeFill="accent1" w:themeFillTint="33"/>
      </w:tcPr>
    </w:tblStylePr>
  </w:style>
  <w:style w:type="table" w:styleId="ListTable6Colorful-Accent2">
    <w:name w:val="List Table 6 Colorful Accent 2"/>
    <w:basedOn w:val="TableNormal"/>
    <w:uiPriority w:val="51"/>
    <w:rsid w:val="00167B18"/>
    <w:pPr>
      <w:spacing w:after="0" w:line="240" w:lineRule="auto"/>
    </w:pPr>
    <w:rPr>
      <w:color w:val="943634" w:themeColor="accent2" w:themeShade="BF"/>
    </w:rPr>
    <w:tblPr>
      <w:tblStyleRowBandSize w:val="1"/>
      <w:tblStyleColBandSize w:val="1"/>
      <w:tblBorders>
        <w:top w:val="single" w:sz="4" w:space="0" w:color="C0504D" w:themeColor="accent2"/>
        <w:bottom w:val="single" w:sz="4" w:space="0" w:color="C0504D" w:themeColor="accent2"/>
      </w:tblBorders>
    </w:tblPr>
    <w:tblStylePr w:type="firstRow">
      <w:rPr>
        <w:b/>
        <w:bCs/>
      </w:rPr>
      <w:tblPr/>
      <w:tcPr>
        <w:tcBorders>
          <w:bottom w:val="single" w:sz="4" w:space="0" w:color="C0504D" w:themeColor="accent2"/>
        </w:tcBorders>
      </w:tcPr>
    </w:tblStylePr>
    <w:tblStylePr w:type="lastRow">
      <w:rPr>
        <w:b/>
        <w:bCs/>
      </w:rPr>
      <w:tblPr/>
      <w:tcPr>
        <w:tcBorders>
          <w:top w:val="double" w:sz="4" w:space="0" w:color="C0504D" w:themeColor="accent2"/>
        </w:tcBorders>
      </w:tcPr>
    </w:tblStylePr>
    <w:tblStylePr w:type="firstCol">
      <w:rPr>
        <w:b/>
        <w:bCs/>
      </w:rPr>
    </w:tblStylePr>
    <w:tblStylePr w:type="lastCol">
      <w:rPr>
        <w:b/>
        <w:bCs/>
      </w:rPr>
    </w:tblStylePr>
    <w:tblStylePr w:type="band1Vert">
      <w:tblPr/>
      <w:tcPr>
        <w:shd w:val="clear" w:color="auto" w:fill="F2DBDB" w:themeFill="accent2" w:themeFillTint="33"/>
      </w:tcPr>
    </w:tblStylePr>
    <w:tblStylePr w:type="band1Horz">
      <w:tblPr/>
      <w:tcPr>
        <w:shd w:val="clear" w:color="auto" w:fill="F2DBDB" w:themeFill="accent2" w:themeFillTint="33"/>
      </w:tcPr>
    </w:tblStylePr>
  </w:style>
  <w:style w:type="table" w:styleId="ListTable6Colorful-Accent3">
    <w:name w:val="List Table 6 Colorful Accent 3"/>
    <w:basedOn w:val="TableNormal"/>
    <w:uiPriority w:val="51"/>
    <w:rsid w:val="00167B18"/>
    <w:pPr>
      <w:spacing w:after="0" w:line="240" w:lineRule="auto"/>
    </w:pPr>
    <w:rPr>
      <w:color w:val="76923C" w:themeColor="accent3" w:themeShade="BF"/>
    </w:rPr>
    <w:tblPr>
      <w:tblStyleRowBandSize w:val="1"/>
      <w:tblStyleColBandSize w:val="1"/>
      <w:tblBorders>
        <w:top w:val="single" w:sz="4" w:space="0" w:color="9BBB59" w:themeColor="accent3"/>
        <w:bottom w:val="single" w:sz="4" w:space="0" w:color="9BBB59" w:themeColor="accent3"/>
      </w:tblBorders>
    </w:tblPr>
    <w:tblStylePr w:type="firstRow">
      <w:rPr>
        <w:b/>
        <w:bCs/>
      </w:rPr>
      <w:tblPr/>
      <w:tcPr>
        <w:tcBorders>
          <w:bottom w:val="single" w:sz="4" w:space="0" w:color="9BBB59" w:themeColor="accent3"/>
        </w:tcBorders>
      </w:tcPr>
    </w:tblStylePr>
    <w:tblStylePr w:type="lastRow">
      <w:rPr>
        <w:b/>
        <w:bCs/>
      </w:rPr>
      <w:tblPr/>
      <w:tcPr>
        <w:tcBorders>
          <w:top w:val="double" w:sz="4" w:space="0" w:color="9BBB59" w:themeColor="accent3"/>
        </w:tcBorders>
      </w:tcPr>
    </w:tblStylePr>
    <w:tblStylePr w:type="firstCol">
      <w:rPr>
        <w:b/>
        <w:bCs/>
      </w:rPr>
    </w:tblStylePr>
    <w:tblStylePr w:type="lastCol">
      <w:rPr>
        <w:b/>
        <w:bCs/>
      </w:rPr>
    </w:tblStylePr>
    <w:tblStylePr w:type="band1Vert">
      <w:tblPr/>
      <w:tcPr>
        <w:shd w:val="clear" w:color="auto" w:fill="EAF1DD" w:themeFill="accent3" w:themeFillTint="33"/>
      </w:tcPr>
    </w:tblStylePr>
    <w:tblStylePr w:type="band1Horz">
      <w:tblPr/>
      <w:tcPr>
        <w:shd w:val="clear" w:color="auto" w:fill="EAF1DD" w:themeFill="accent3" w:themeFillTint="33"/>
      </w:tcPr>
    </w:tblStylePr>
  </w:style>
  <w:style w:type="table" w:styleId="ListTable6Colorful-Accent4">
    <w:name w:val="List Table 6 Colorful Accent 4"/>
    <w:basedOn w:val="TableNormal"/>
    <w:uiPriority w:val="51"/>
    <w:rsid w:val="00167B18"/>
    <w:pPr>
      <w:spacing w:after="0" w:line="240" w:lineRule="auto"/>
    </w:pPr>
    <w:rPr>
      <w:color w:val="5F497A" w:themeColor="accent4" w:themeShade="BF"/>
    </w:rPr>
    <w:tblPr>
      <w:tblStyleRowBandSize w:val="1"/>
      <w:tblStyleColBandSize w:val="1"/>
      <w:tblBorders>
        <w:top w:val="single" w:sz="4" w:space="0" w:color="8064A2" w:themeColor="accent4"/>
        <w:bottom w:val="single" w:sz="4" w:space="0" w:color="8064A2" w:themeColor="accent4"/>
      </w:tblBorders>
    </w:tblPr>
    <w:tblStylePr w:type="firstRow">
      <w:rPr>
        <w:b/>
        <w:bCs/>
      </w:rPr>
      <w:tblPr/>
      <w:tcPr>
        <w:tcBorders>
          <w:bottom w:val="single" w:sz="4" w:space="0" w:color="8064A2" w:themeColor="accent4"/>
        </w:tcBorders>
      </w:tcPr>
    </w:tblStylePr>
    <w:tblStylePr w:type="lastRow">
      <w:rPr>
        <w:b/>
        <w:bCs/>
      </w:rPr>
      <w:tblPr/>
      <w:tcPr>
        <w:tcBorders>
          <w:top w:val="double" w:sz="4" w:space="0" w:color="8064A2" w:themeColor="accent4"/>
        </w:tcBorders>
      </w:tcPr>
    </w:tblStylePr>
    <w:tblStylePr w:type="firstCol">
      <w:rPr>
        <w:b/>
        <w:bCs/>
      </w:rPr>
    </w:tblStylePr>
    <w:tblStylePr w:type="lastCol">
      <w:rPr>
        <w:b/>
        <w:bCs/>
      </w:rPr>
    </w:tblStylePr>
    <w:tblStylePr w:type="band1Vert">
      <w:tblPr/>
      <w:tcPr>
        <w:shd w:val="clear" w:color="auto" w:fill="E5DFEC" w:themeFill="accent4" w:themeFillTint="33"/>
      </w:tcPr>
    </w:tblStylePr>
    <w:tblStylePr w:type="band1Horz">
      <w:tblPr/>
      <w:tcPr>
        <w:shd w:val="clear" w:color="auto" w:fill="E5DFEC" w:themeFill="accent4" w:themeFillTint="33"/>
      </w:tcPr>
    </w:tblStylePr>
  </w:style>
  <w:style w:type="table" w:styleId="ListTable6Colorful-Accent5">
    <w:name w:val="List Table 6 Colorful Accent 5"/>
    <w:basedOn w:val="TableNormal"/>
    <w:uiPriority w:val="51"/>
    <w:rsid w:val="00167B18"/>
    <w:pPr>
      <w:spacing w:after="0" w:line="240" w:lineRule="auto"/>
    </w:pPr>
    <w:rPr>
      <w:color w:val="31849B" w:themeColor="accent5" w:themeShade="BF"/>
    </w:rPr>
    <w:tblPr>
      <w:tblStyleRowBandSize w:val="1"/>
      <w:tblStyleColBandSize w:val="1"/>
      <w:tblBorders>
        <w:top w:val="single" w:sz="4" w:space="0" w:color="4BACC6" w:themeColor="accent5"/>
        <w:bottom w:val="single" w:sz="4" w:space="0" w:color="4BACC6" w:themeColor="accent5"/>
      </w:tblBorders>
    </w:tblPr>
    <w:tblStylePr w:type="firstRow">
      <w:rPr>
        <w:b/>
        <w:bCs/>
      </w:rPr>
      <w:tblPr/>
      <w:tcPr>
        <w:tcBorders>
          <w:bottom w:val="single" w:sz="4" w:space="0" w:color="4BACC6" w:themeColor="accent5"/>
        </w:tcBorders>
      </w:tcPr>
    </w:tblStylePr>
    <w:tblStylePr w:type="lastRow">
      <w:rPr>
        <w:b/>
        <w:bCs/>
      </w:rPr>
      <w:tblPr/>
      <w:tcPr>
        <w:tcBorders>
          <w:top w:val="double" w:sz="4" w:space="0" w:color="4BACC6" w:themeColor="accent5"/>
        </w:tcBorders>
      </w:tcPr>
    </w:tblStylePr>
    <w:tblStylePr w:type="firstCol">
      <w:rPr>
        <w:b/>
        <w:bCs/>
      </w:rPr>
    </w:tblStylePr>
    <w:tblStylePr w:type="lastCol">
      <w:rPr>
        <w:b/>
        <w:bCs/>
      </w:rPr>
    </w:tblStylePr>
    <w:tblStylePr w:type="band1Vert">
      <w:tblPr/>
      <w:tcPr>
        <w:shd w:val="clear" w:color="auto" w:fill="DAEEF3" w:themeFill="accent5" w:themeFillTint="33"/>
      </w:tcPr>
    </w:tblStylePr>
    <w:tblStylePr w:type="band1Horz">
      <w:tblPr/>
      <w:tcPr>
        <w:shd w:val="clear" w:color="auto" w:fill="DAEEF3" w:themeFill="accent5" w:themeFillTint="33"/>
      </w:tcPr>
    </w:tblStylePr>
  </w:style>
  <w:style w:type="table" w:styleId="ListTable6Colorful-Accent6">
    <w:name w:val="List Table 6 Colorful Accent 6"/>
    <w:basedOn w:val="TableNormal"/>
    <w:uiPriority w:val="51"/>
    <w:rsid w:val="00167B18"/>
    <w:pPr>
      <w:spacing w:after="0" w:line="240" w:lineRule="auto"/>
    </w:pPr>
    <w:rPr>
      <w:color w:val="E36C0A" w:themeColor="accent6" w:themeShade="BF"/>
    </w:rPr>
    <w:tblPr>
      <w:tblStyleRowBandSize w:val="1"/>
      <w:tblStyleColBandSize w:val="1"/>
      <w:tblBorders>
        <w:top w:val="single" w:sz="4" w:space="0" w:color="F79646" w:themeColor="accent6"/>
        <w:bottom w:val="single" w:sz="4" w:space="0" w:color="F79646" w:themeColor="accent6"/>
      </w:tblBorders>
    </w:tblPr>
    <w:tblStylePr w:type="firstRow">
      <w:rPr>
        <w:b/>
        <w:bCs/>
      </w:rPr>
      <w:tblPr/>
      <w:tcPr>
        <w:tcBorders>
          <w:bottom w:val="single" w:sz="4" w:space="0" w:color="F79646" w:themeColor="accent6"/>
        </w:tcBorders>
      </w:tcPr>
    </w:tblStylePr>
    <w:tblStylePr w:type="lastRow">
      <w:rPr>
        <w:b/>
        <w:bCs/>
      </w:rPr>
      <w:tblPr/>
      <w:tcPr>
        <w:tcBorders>
          <w:top w:val="double" w:sz="4" w:space="0" w:color="F79646" w:themeColor="accent6"/>
        </w:tcBorders>
      </w:tcPr>
    </w:tblStylePr>
    <w:tblStylePr w:type="firstCol">
      <w:rPr>
        <w:b/>
        <w:bCs/>
      </w:rPr>
    </w:tblStylePr>
    <w:tblStylePr w:type="lastCol">
      <w:rPr>
        <w:b/>
        <w:bCs/>
      </w:rPr>
    </w:tblStylePr>
    <w:tblStylePr w:type="band1Vert">
      <w:tblPr/>
      <w:tcPr>
        <w:shd w:val="clear" w:color="auto" w:fill="FDE9D9" w:themeFill="accent6" w:themeFillTint="33"/>
      </w:tcPr>
    </w:tblStylePr>
    <w:tblStylePr w:type="band1Horz">
      <w:tblPr/>
      <w:tcPr>
        <w:shd w:val="clear" w:color="auto" w:fill="FDE9D9" w:themeFill="accent6" w:themeFillTint="33"/>
      </w:tcPr>
    </w:tblStylePr>
  </w:style>
  <w:style w:type="table" w:styleId="ListTable7Colorful">
    <w:name w:val="List Table 7 Colorful"/>
    <w:basedOn w:val="TableNormal"/>
    <w:uiPriority w:val="52"/>
    <w:rsid w:val="00167B18"/>
    <w:pPr>
      <w:spacing w:after="0" w:line="240" w:lineRule="auto"/>
    </w:pPr>
    <w:rPr>
      <w:color w:val="000000" w:themeColor="text1"/>
    </w:rPr>
    <w:tblPr>
      <w:tblStyleRowBandSize w:val="1"/>
      <w:tblStyleColBandSize w:val="1"/>
    </w:tblPr>
    <w:tblStylePr w:type="firstRow">
      <w:rPr>
        <w:rFonts w:asciiTheme="majorHAnsi" w:eastAsiaTheme="majorEastAsia" w:hAnsiTheme="majorHAnsi" w:cstheme="majorBidi"/>
        <w:i/>
        <w:iCs/>
        <w:sz w:val="26"/>
      </w:rPr>
      <w:tblPr/>
      <w:tcPr>
        <w:tcBorders>
          <w:bottom w:val="single" w:sz="4" w:space="0" w:color="000000" w:themeColor="text1"/>
        </w:tcBorders>
        <w:shd w:val="clear" w:color="auto" w:fill="FFFFFF" w:themeFill="background1"/>
      </w:tcPr>
    </w:tblStylePr>
    <w:tblStylePr w:type="lastRow">
      <w:rPr>
        <w:rFonts w:asciiTheme="majorHAnsi" w:eastAsiaTheme="majorEastAsia" w:hAnsiTheme="majorHAnsi" w:cstheme="majorBidi"/>
        <w:i/>
        <w:iCs/>
        <w:sz w:val="26"/>
      </w:rPr>
      <w:tblPr/>
      <w:tcPr>
        <w:tcBorders>
          <w:top w:val="single" w:sz="4" w:space="0" w:color="000000" w:themeColor="text1"/>
        </w:tcBorders>
        <w:shd w:val="clear" w:color="auto" w:fill="FFFFFF" w:themeFill="background1"/>
      </w:tcPr>
    </w:tblStylePr>
    <w:tblStylePr w:type="firstCol">
      <w:pPr>
        <w:jc w:val="right"/>
      </w:pPr>
      <w:rPr>
        <w:rFonts w:asciiTheme="majorHAnsi" w:eastAsiaTheme="majorEastAsia" w:hAnsiTheme="majorHAnsi" w:cstheme="majorBidi"/>
        <w:i/>
        <w:iCs/>
        <w:sz w:val="26"/>
      </w:rPr>
      <w:tblPr/>
      <w:tcPr>
        <w:tcBorders>
          <w:right w:val="single" w:sz="4" w:space="0" w:color="000000" w:themeColor="text1"/>
        </w:tcBorders>
        <w:shd w:val="clear" w:color="auto" w:fill="FFFFFF" w:themeFill="background1"/>
      </w:tcPr>
    </w:tblStylePr>
    <w:tblStylePr w:type="lastCol">
      <w:rPr>
        <w:rFonts w:asciiTheme="majorHAnsi" w:eastAsiaTheme="majorEastAsia" w:hAnsiTheme="majorHAnsi" w:cstheme="majorBidi"/>
        <w:i/>
        <w:iCs/>
        <w:sz w:val="26"/>
      </w:rPr>
      <w:tblPr/>
      <w:tcPr>
        <w:tcBorders>
          <w:left w:val="single" w:sz="4" w:space="0" w:color="000000" w:themeColor="text1"/>
        </w:tcBorders>
        <w:shd w:val="clear" w:color="auto" w:fill="FFFFFF" w:themeFill="background1"/>
      </w:tcPr>
    </w:tblStylePr>
    <w:tblStylePr w:type="band1Vert">
      <w:tblPr/>
      <w:tcPr>
        <w:shd w:val="clear" w:color="auto" w:fill="CCCCCC" w:themeFill="text1" w:themeFillTint="33"/>
      </w:tcPr>
    </w:tblStylePr>
    <w:tblStylePr w:type="band1Horz">
      <w:tblPr/>
      <w:tcPr>
        <w:shd w:val="clear" w:color="auto" w:fill="CCCCCC" w:themeFill="text1" w:themeFillTint="33"/>
      </w:tcPr>
    </w:tblStylePr>
    <w:tblStylePr w:type="neCell">
      <w:tblPr/>
      <w:tcPr>
        <w:tcBorders>
          <w:left w:val="nil"/>
        </w:tcBorders>
      </w:tcPr>
    </w:tblStylePr>
    <w:tblStylePr w:type="nwCell">
      <w:tblPr/>
      <w:tcPr>
        <w:tcBorders>
          <w:right w:val="nil"/>
        </w:tcBorders>
      </w:tcPr>
    </w:tblStylePr>
    <w:tblStylePr w:type="seCell">
      <w:tblPr/>
      <w:tcPr>
        <w:tcBorders>
          <w:left w:val="nil"/>
        </w:tcBorders>
      </w:tcPr>
    </w:tblStylePr>
    <w:tblStylePr w:type="swCell">
      <w:tblPr/>
      <w:tcPr>
        <w:tcBorders>
          <w:right w:val="nil"/>
        </w:tcBorders>
      </w:tcPr>
    </w:tblStylePr>
  </w:style>
  <w:style w:type="table" w:styleId="ListTable7Colorful-Accent1">
    <w:name w:val="List Table 7 Colorful Accent 1"/>
    <w:basedOn w:val="TableNormal"/>
    <w:uiPriority w:val="52"/>
    <w:rsid w:val="00167B18"/>
    <w:pPr>
      <w:spacing w:after="0" w:line="240" w:lineRule="auto"/>
    </w:pPr>
    <w:rPr>
      <w:color w:val="365F91" w:themeColor="accent1" w:themeShade="BF"/>
    </w:rPr>
    <w:tblPr>
      <w:tblStyleRowBandSize w:val="1"/>
      <w:tblStyleColBandSize w:val="1"/>
    </w:tblPr>
    <w:tblStylePr w:type="firstRow">
      <w:rPr>
        <w:rFonts w:asciiTheme="majorHAnsi" w:eastAsiaTheme="majorEastAsia" w:hAnsiTheme="majorHAnsi" w:cstheme="majorBidi"/>
        <w:i/>
        <w:iCs/>
        <w:sz w:val="26"/>
      </w:rPr>
      <w:tblPr/>
      <w:tcPr>
        <w:tcBorders>
          <w:bottom w:val="single" w:sz="4" w:space="0" w:color="4F81BD" w:themeColor="accent1"/>
        </w:tcBorders>
        <w:shd w:val="clear" w:color="auto" w:fill="FFFFFF" w:themeFill="background1"/>
      </w:tcPr>
    </w:tblStylePr>
    <w:tblStylePr w:type="lastRow">
      <w:rPr>
        <w:rFonts w:asciiTheme="majorHAnsi" w:eastAsiaTheme="majorEastAsia" w:hAnsiTheme="majorHAnsi" w:cstheme="majorBidi"/>
        <w:i/>
        <w:iCs/>
        <w:sz w:val="26"/>
      </w:rPr>
      <w:tblPr/>
      <w:tcPr>
        <w:tcBorders>
          <w:top w:val="single" w:sz="4" w:space="0" w:color="4F81BD" w:themeColor="accent1"/>
        </w:tcBorders>
        <w:shd w:val="clear" w:color="auto" w:fill="FFFFFF" w:themeFill="background1"/>
      </w:tcPr>
    </w:tblStylePr>
    <w:tblStylePr w:type="firstCol">
      <w:pPr>
        <w:jc w:val="right"/>
      </w:pPr>
      <w:rPr>
        <w:rFonts w:asciiTheme="majorHAnsi" w:eastAsiaTheme="majorEastAsia" w:hAnsiTheme="majorHAnsi" w:cstheme="majorBidi"/>
        <w:i/>
        <w:iCs/>
        <w:sz w:val="26"/>
      </w:rPr>
      <w:tblPr/>
      <w:tcPr>
        <w:tcBorders>
          <w:right w:val="single" w:sz="4" w:space="0" w:color="4F81BD" w:themeColor="accent1"/>
        </w:tcBorders>
        <w:shd w:val="clear" w:color="auto" w:fill="FFFFFF" w:themeFill="background1"/>
      </w:tcPr>
    </w:tblStylePr>
    <w:tblStylePr w:type="lastCol">
      <w:rPr>
        <w:rFonts w:asciiTheme="majorHAnsi" w:eastAsiaTheme="majorEastAsia" w:hAnsiTheme="majorHAnsi" w:cstheme="majorBidi"/>
        <w:i/>
        <w:iCs/>
        <w:sz w:val="26"/>
      </w:rPr>
      <w:tblPr/>
      <w:tcPr>
        <w:tcBorders>
          <w:left w:val="single" w:sz="4" w:space="0" w:color="4F81BD" w:themeColor="accent1"/>
        </w:tcBorders>
        <w:shd w:val="clear" w:color="auto" w:fill="FFFFFF" w:themeFill="background1"/>
      </w:tcPr>
    </w:tblStylePr>
    <w:tblStylePr w:type="band1Vert">
      <w:tblPr/>
      <w:tcPr>
        <w:shd w:val="clear" w:color="auto" w:fill="DBE5F1" w:themeFill="accent1" w:themeFillTint="33"/>
      </w:tcPr>
    </w:tblStylePr>
    <w:tblStylePr w:type="band1Horz">
      <w:tblPr/>
      <w:tcPr>
        <w:shd w:val="clear" w:color="auto" w:fill="DBE5F1" w:themeFill="accent1" w:themeFillTint="33"/>
      </w:tcPr>
    </w:tblStylePr>
    <w:tblStylePr w:type="neCell">
      <w:tblPr/>
      <w:tcPr>
        <w:tcBorders>
          <w:left w:val="nil"/>
        </w:tcBorders>
      </w:tcPr>
    </w:tblStylePr>
    <w:tblStylePr w:type="nwCell">
      <w:tblPr/>
      <w:tcPr>
        <w:tcBorders>
          <w:right w:val="nil"/>
        </w:tcBorders>
      </w:tcPr>
    </w:tblStylePr>
    <w:tblStylePr w:type="seCell">
      <w:tblPr/>
      <w:tcPr>
        <w:tcBorders>
          <w:left w:val="nil"/>
        </w:tcBorders>
      </w:tcPr>
    </w:tblStylePr>
    <w:tblStylePr w:type="swCell">
      <w:tblPr/>
      <w:tcPr>
        <w:tcBorders>
          <w:right w:val="nil"/>
        </w:tcBorders>
      </w:tcPr>
    </w:tblStylePr>
  </w:style>
  <w:style w:type="table" w:styleId="ListTable7Colorful-Accent2">
    <w:name w:val="List Table 7 Colorful Accent 2"/>
    <w:basedOn w:val="TableNormal"/>
    <w:uiPriority w:val="52"/>
    <w:rsid w:val="00167B18"/>
    <w:pPr>
      <w:spacing w:after="0" w:line="240" w:lineRule="auto"/>
    </w:pPr>
    <w:rPr>
      <w:color w:val="943634" w:themeColor="accent2" w:themeShade="BF"/>
    </w:rPr>
    <w:tblPr>
      <w:tblStyleRowBandSize w:val="1"/>
      <w:tblStyleColBandSize w:val="1"/>
    </w:tblPr>
    <w:tblStylePr w:type="firstRow">
      <w:rPr>
        <w:rFonts w:asciiTheme="majorHAnsi" w:eastAsiaTheme="majorEastAsia" w:hAnsiTheme="majorHAnsi" w:cstheme="majorBidi"/>
        <w:i/>
        <w:iCs/>
        <w:sz w:val="26"/>
      </w:rPr>
      <w:tblPr/>
      <w:tcPr>
        <w:tcBorders>
          <w:bottom w:val="single" w:sz="4" w:space="0" w:color="C0504D" w:themeColor="accent2"/>
        </w:tcBorders>
        <w:shd w:val="clear" w:color="auto" w:fill="FFFFFF" w:themeFill="background1"/>
      </w:tcPr>
    </w:tblStylePr>
    <w:tblStylePr w:type="lastRow">
      <w:rPr>
        <w:rFonts w:asciiTheme="majorHAnsi" w:eastAsiaTheme="majorEastAsia" w:hAnsiTheme="majorHAnsi" w:cstheme="majorBidi"/>
        <w:i/>
        <w:iCs/>
        <w:sz w:val="26"/>
      </w:rPr>
      <w:tblPr/>
      <w:tcPr>
        <w:tcBorders>
          <w:top w:val="single" w:sz="4" w:space="0" w:color="C0504D" w:themeColor="accent2"/>
        </w:tcBorders>
        <w:shd w:val="clear" w:color="auto" w:fill="FFFFFF" w:themeFill="background1"/>
      </w:tcPr>
    </w:tblStylePr>
    <w:tblStylePr w:type="firstCol">
      <w:pPr>
        <w:jc w:val="right"/>
      </w:pPr>
      <w:rPr>
        <w:rFonts w:asciiTheme="majorHAnsi" w:eastAsiaTheme="majorEastAsia" w:hAnsiTheme="majorHAnsi" w:cstheme="majorBidi"/>
        <w:i/>
        <w:iCs/>
        <w:sz w:val="26"/>
      </w:rPr>
      <w:tblPr/>
      <w:tcPr>
        <w:tcBorders>
          <w:right w:val="single" w:sz="4" w:space="0" w:color="C0504D" w:themeColor="accent2"/>
        </w:tcBorders>
        <w:shd w:val="clear" w:color="auto" w:fill="FFFFFF" w:themeFill="background1"/>
      </w:tcPr>
    </w:tblStylePr>
    <w:tblStylePr w:type="lastCol">
      <w:rPr>
        <w:rFonts w:asciiTheme="majorHAnsi" w:eastAsiaTheme="majorEastAsia" w:hAnsiTheme="majorHAnsi" w:cstheme="majorBidi"/>
        <w:i/>
        <w:iCs/>
        <w:sz w:val="26"/>
      </w:rPr>
      <w:tblPr/>
      <w:tcPr>
        <w:tcBorders>
          <w:left w:val="single" w:sz="4" w:space="0" w:color="C0504D" w:themeColor="accent2"/>
        </w:tcBorders>
        <w:shd w:val="clear" w:color="auto" w:fill="FFFFFF" w:themeFill="background1"/>
      </w:tcPr>
    </w:tblStylePr>
    <w:tblStylePr w:type="band1Vert">
      <w:tblPr/>
      <w:tcPr>
        <w:shd w:val="clear" w:color="auto" w:fill="F2DBDB" w:themeFill="accent2" w:themeFillTint="33"/>
      </w:tcPr>
    </w:tblStylePr>
    <w:tblStylePr w:type="band1Horz">
      <w:tblPr/>
      <w:tcPr>
        <w:shd w:val="clear" w:color="auto" w:fill="F2DBDB" w:themeFill="accent2" w:themeFillTint="33"/>
      </w:tcPr>
    </w:tblStylePr>
    <w:tblStylePr w:type="neCell">
      <w:tblPr/>
      <w:tcPr>
        <w:tcBorders>
          <w:left w:val="nil"/>
        </w:tcBorders>
      </w:tcPr>
    </w:tblStylePr>
    <w:tblStylePr w:type="nwCell">
      <w:tblPr/>
      <w:tcPr>
        <w:tcBorders>
          <w:right w:val="nil"/>
        </w:tcBorders>
      </w:tcPr>
    </w:tblStylePr>
    <w:tblStylePr w:type="seCell">
      <w:tblPr/>
      <w:tcPr>
        <w:tcBorders>
          <w:left w:val="nil"/>
        </w:tcBorders>
      </w:tcPr>
    </w:tblStylePr>
    <w:tblStylePr w:type="swCell">
      <w:tblPr/>
      <w:tcPr>
        <w:tcBorders>
          <w:right w:val="nil"/>
        </w:tcBorders>
      </w:tcPr>
    </w:tblStylePr>
  </w:style>
  <w:style w:type="table" w:styleId="ListTable7Colorful-Accent3">
    <w:name w:val="List Table 7 Colorful Accent 3"/>
    <w:basedOn w:val="TableNormal"/>
    <w:uiPriority w:val="52"/>
    <w:rsid w:val="00167B18"/>
    <w:pPr>
      <w:spacing w:after="0" w:line="240" w:lineRule="auto"/>
    </w:pPr>
    <w:rPr>
      <w:color w:val="76923C" w:themeColor="accent3" w:themeShade="BF"/>
    </w:rPr>
    <w:tblPr>
      <w:tblStyleRowBandSize w:val="1"/>
      <w:tblStyleColBandSize w:val="1"/>
    </w:tblPr>
    <w:tblStylePr w:type="firstRow">
      <w:rPr>
        <w:rFonts w:asciiTheme="majorHAnsi" w:eastAsiaTheme="majorEastAsia" w:hAnsiTheme="majorHAnsi" w:cstheme="majorBidi"/>
        <w:i/>
        <w:iCs/>
        <w:sz w:val="26"/>
      </w:rPr>
      <w:tblPr/>
      <w:tcPr>
        <w:tcBorders>
          <w:bottom w:val="single" w:sz="4" w:space="0" w:color="9BBB59" w:themeColor="accent3"/>
        </w:tcBorders>
        <w:shd w:val="clear" w:color="auto" w:fill="FFFFFF" w:themeFill="background1"/>
      </w:tcPr>
    </w:tblStylePr>
    <w:tblStylePr w:type="lastRow">
      <w:rPr>
        <w:rFonts w:asciiTheme="majorHAnsi" w:eastAsiaTheme="majorEastAsia" w:hAnsiTheme="majorHAnsi" w:cstheme="majorBidi"/>
        <w:i/>
        <w:iCs/>
        <w:sz w:val="26"/>
      </w:rPr>
      <w:tblPr/>
      <w:tcPr>
        <w:tcBorders>
          <w:top w:val="single" w:sz="4" w:space="0" w:color="9BBB59" w:themeColor="accent3"/>
        </w:tcBorders>
        <w:shd w:val="clear" w:color="auto" w:fill="FFFFFF" w:themeFill="background1"/>
      </w:tcPr>
    </w:tblStylePr>
    <w:tblStylePr w:type="firstCol">
      <w:pPr>
        <w:jc w:val="right"/>
      </w:pPr>
      <w:rPr>
        <w:rFonts w:asciiTheme="majorHAnsi" w:eastAsiaTheme="majorEastAsia" w:hAnsiTheme="majorHAnsi" w:cstheme="majorBidi"/>
        <w:i/>
        <w:iCs/>
        <w:sz w:val="26"/>
      </w:rPr>
      <w:tblPr/>
      <w:tcPr>
        <w:tcBorders>
          <w:right w:val="single" w:sz="4" w:space="0" w:color="9BBB59" w:themeColor="accent3"/>
        </w:tcBorders>
        <w:shd w:val="clear" w:color="auto" w:fill="FFFFFF" w:themeFill="background1"/>
      </w:tcPr>
    </w:tblStylePr>
    <w:tblStylePr w:type="lastCol">
      <w:rPr>
        <w:rFonts w:asciiTheme="majorHAnsi" w:eastAsiaTheme="majorEastAsia" w:hAnsiTheme="majorHAnsi" w:cstheme="majorBidi"/>
        <w:i/>
        <w:iCs/>
        <w:sz w:val="26"/>
      </w:rPr>
      <w:tblPr/>
      <w:tcPr>
        <w:tcBorders>
          <w:left w:val="single" w:sz="4" w:space="0" w:color="9BBB59" w:themeColor="accent3"/>
        </w:tcBorders>
        <w:shd w:val="clear" w:color="auto" w:fill="FFFFFF" w:themeFill="background1"/>
      </w:tcPr>
    </w:tblStylePr>
    <w:tblStylePr w:type="band1Vert">
      <w:tblPr/>
      <w:tcPr>
        <w:shd w:val="clear" w:color="auto" w:fill="EAF1DD" w:themeFill="accent3" w:themeFillTint="33"/>
      </w:tcPr>
    </w:tblStylePr>
    <w:tblStylePr w:type="band1Horz">
      <w:tblPr/>
      <w:tcPr>
        <w:shd w:val="clear" w:color="auto" w:fill="EAF1DD" w:themeFill="accent3" w:themeFillTint="33"/>
      </w:tcPr>
    </w:tblStylePr>
    <w:tblStylePr w:type="neCell">
      <w:tblPr/>
      <w:tcPr>
        <w:tcBorders>
          <w:left w:val="nil"/>
        </w:tcBorders>
      </w:tcPr>
    </w:tblStylePr>
    <w:tblStylePr w:type="nwCell">
      <w:tblPr/>
      <w:tcPr>
        <w:tcBorders>
          <w:right w:val="nil"/>
        </w:tcBorders>
      </w:tcPr>
    </w:tblStylePr>
    <w:tblStylePr w:type="seCell">
      <w:tblPr/>
      <w:tcPr>
        <w:tcBorders>
          <w:left w:val="nil"/>
        </w:tcBorders>
      </w:tcPr>
    </w:tblStylePr>
    <w:tblStylePr w:type="swCell">
      <w:tblPr/>
      <w:tcPr>
        <w:tcBorders>
          <w:right w:val="nil"/>
        </w:tcBorders>
      </w:tcPr>
    </w:tblStylePr>
  </w:style>
  <w:style w:type="table" w:styleId="ListTable7Colorful-Accent4">
    <w:name w:val="List Table 7 Colorful Accent 4"/>
    <w:basedOn w:val="TableNormal"/>
    <w:uiPriority w:val="52"/>
    <w:rsid w:val="00167B18"/>
    <w:pPr>
      <w:spacing w:after="0" w:line="240" w:lineRule="auto"/>
    </w:pPr>
    <w:rPr>
      <w:color w:val="5F497A" w:themeColor="accent4" w:themeShade="BF"/>
    </w:rPr>
    <w:tblPr>
      <w:tblStyleRowBandSize w:val="1"/>
      <w:tblStyleColBandSize w:val="1"/>
    </w:tblPr>
    <w:tblStylePr w:type="firstRow">
      <w:rPr>
        <w:rFonts w:asciiTheme="majorHAnsi" w:eastAsiaTheme="majorEastAsia" w:hAnsiTheme="majorHAnsi" w:cstheme="majorBidi"/>
        <w:i/>
        <w:iCs/>
        <w:sz w:val="26"/>
      </w:rPr>
      <w:tblPr/>
      <w:tcPr>
        <w:tcBorders>
          <w:bottom w:val="single" w:sz="4" w:space="0" w:color="8064A2" w:themeColor="accent4"/>
        </w:tcBorders>
        <w:shd w:val="clear" w:color="auto" w:fill="FFFFFF" w:themeFill="background1"/>
      </w:tcPr>
    </w:tblStylePr>
    <w:tblStylePr w:type="lastRow">
      <w:rPr>
        <w:rFonts w:asciiTheme="majorHAnsi" w:eastAsiaTheme="majorEastAsia" w:hAnsiTheme="majorHAnsi" w:cstheme="majorBidi"/>
        <w:i/>
        <w:iCs/>
        <w:sz w:val="26"/>
      </w:rPr>
      <w:tblPr/>
      <w:tcPr>
        <w:tcBorders>
          <w:top w:val="single" w:sz="4" w:space="0" w:color="8064A2" w:themeColor="accent4"/>
        </w:tcBorders>
        <w:shd w:val="clear" w:color="auto" w:fill="FFFFFF" w:themeFill="background1"/>
      </w:tcPr>
    </w:tblStylePr>
    <w:tblStylePr w:type="firstCol">
      <w:pPr>
        <w:jc w:val="right"/>
      </w:pPr>
      <w:rPr>
        <w:rFonts w:asciiTheme="majorHAnsi" w:eastAsiaTheme="majorEastAsia" w:hAnsiTheme="majorHAnsi" w:cstheme="majorBidi"/>
        <w:i/>
        <w:iCs/>
        <w:sz w:val="26"/>
      </w:rPr>
      <w:tblPr/>
      <w:tcPr>
        <w:tcBorders>
          <w:right w:val="single" w:sz="4" w:space="0" w:color="8064A2" w:themeColor="accent4"/>
        </w:tcBorders>
        <w:shd w:val="clear" w:color="auto" w:fill="FFFFFF" w:themeFill="background1"/>
      </w:tcPr>
    </w:tblStylePr>
    <w:tblStylePr w:type="lastCol">
      <w:rPr>
        <w:rFonts w:asciiTheme="majorHAnsi" w:eastAsiaTheme="majorEastAsia" w:hAnsiTheme="majorHAnsi" w:cstheme="majorBidi"/>
        <w:i/>
        <w:iCs/>
        <w:sz w:val="26"/>
      </w:rPr>
      <w:tblPr/>
      <w:tcPr>
        <w:tcBorders>
          <w:left w:val="single" w:sz="4" w:space="0" w:color="8064A2" w:themeColor="accent4"/>
        </w:tcBorders>
        <w:shd w:val="clear" w:color="auto" w:fill="FFFFFF" w:themeFill="background1"/>
      </w:tcPr>
    </w:tblStylePr>
    <w:tblStylePr w:type="band1Vert">
      <w:tblPr/>
      <w:tcPr>
        <w:shd w:val="clear" w:color="auto" w:fill="E5DFEC" w:themeFill="accent4" w:themeFillTint="33"/>
      </w:tcPr>
    </w:tblStylePr>
    <w:tblStylePr w:type="band1Horz">
      <w:tblPr/>
      <w:tcPr>
        <w:shd w:val="clear" w:color="auto" w:fill="E5DFEC" w:themeFill="accent4" w:themeFillTint="33"/>
      </w:tcPr>
    </w:tblStylePr>
    <w:tblStylePr w:type="neCell">
      <w:tblPr/>
      <w:tcPr>
        <w:tcBorders>
          <w:left w:val="nil"/>
        </w:tcBorders>
      </w:tcPr>
    </w:tblStylePr>
    <w:tblStylePr w:type="nwCell">
      <w:tblPr/>
      <w:tcPr>
        <w:tcBorders>
          <w:right w:val="nil"/>
        </w:tcBorders>
      </w:tcPr>
    </w:tblStylePr>
    <w:tblStylePr w:type="seCell">
      <w:tblPr/>
      <w:tcPr>
        <w:tcBorders>
          <w:left w:val="nil"/>
        </w:tcBorders>
      </w:tcPr>
    </w:tblStylePr>
    <w:tblStylePr w:type="swCell">
      <w:tblPr/>
      <w:tcPr>
        <w:tcBorders>
          <w:right w:val="nil"/>
        </w:tcBorders>
      </w:tcPr>
    </w:tblStylePr>
  </w:style>
  <w:style w:type="table" w:styleId="ListTable7Colorful-Accent5">
    <w:name w:val="List Table 7 Colorful Accent 5"/>
    <w:basedOn w:val="TableNormal"/>
    <w:uiPriority w:val="52"/>
    <w:rsid w:val="00167B18"/>
    <w:pPr>
      <w:spacing w:after="0" w:line="240" w:lineRule="auto"/>
    </w:pPr>
    <w:rPr>
      <w:color w:val="31849B" w:themeColor="accent5" w:themeShade="BF"/>
    </w:rPr>
    <w:tblPr>
      <w:tblStyleRowBandSize w:val="1"/>
      <w:tblStyleColBandSize w:val="1"/>
    </w:tblPr>
    <w:tblStylePr w:type="firstRow">
      <w:rPr>
        <w:rFonts w:asciiTheme="majorHAnsi" w:eastAsiaTheme="majorEastAsia" w:hAnsiTheme="majorHAnsi" w:cstheme="majorBidi"/>
        <w:i/>
        <w:iCs/>
        <w:sz w:val="26"/>
      </w:rPr>
      <w:tblPr/>
      <w:tcPr>
        <w:tcBorders>
          <w:bottom w:val="single" w:sz="4" w:space="0" w:color="4BACC6" w:themeColor="accent5"/>
        </w:tcBorders>
        <w:shd w:val="clear" w:color="auto" w:fill="FFFFFF" w:themeFill="background1"/>
      </w:tcPr>
    </w:tblStylePr>
    <w:tblStylePr w:type="lastRow">
      <w:rPr>
        <w:rFonts w:asciiTheme="majorHAnsi" w:eastAsiaTheme="majorEastAsia" w:hAnsiTheme="majorHAnsi" w:cstheme="majorBidi"/>
        <w:i/>
        <w:iCs/>
        <w:sz w:val="26"/>
      </w:rPr>
      <w:tblPr/>
      <w:tcPr>
        <w:tcBorders>
          <w:top w:val="single" w:sz="4" w:space="0" w:color="4BACC6" w:themeColor="accent5"/>
        </w:tcBorders>
        <w:shd w:val="clear" w:color="auto" w:fill="FFFFFF" w:themeFill="background1"/>
      </w:tcPr>
    </w:tblStylePr>
    <w:tblStylePr w:type="firstCol">
      <w:pPr>
        <w:jc w:val="right"/>
      </w:pPr>
      <w:rPr>
        <w:rFonts w:asciiTheme="majorHAnsi" w:eastAsiaTheme="majorEastAsia" w:hAnsiTheme="majorHAnsi" w:cstheme="majorBidi"/>
        <w:i/>
        <w:iCs/>
        <w:sz w:val="26"/>
      </w:rPr>
      <w:tblPr/>
      <w:tcPr>
        <w:tcBorders>
          <w:right w:val="single" w:sz="4" w:space="0" w:color="4BACC6" w:themeColor="accent5"/>
        </w:tcBorders>
        <w:shd w:val="clear" w:color="auto" w:fill="FFFFFF" w:themeFill="background1"/>
      </w:tcPr>
    </w:tblStylePr>
    <w:tblStylePr w:type="lastCol">
      <w:rPr>
        <w:rFonts w:asciiTheme="majorHAnsi" w:eastAsiaTheme="majorEastAsia" w:hAnsiTheme="majorHAnsi" w:cstheme="majorBidi"/>
        <w:i/>
        <w:iCs/>
        <w:sz w:val="26"/>
      </w:rPr>
      <w:tblPr/>
      <w:tcPr>
        <w:tcBorders>
          <w:left w:val="single" w:sz="4" w:space="0" w:color="4BACC6" w:themeColor="accent5"/>
        </w:tcBorders>
        <w:shd w:val="clear" w:color="auto" w:fill="FFFFFF" w:themeFill="background1"/>
      </w:tcPr>
    </w:tblStylePr>
    <w:tblStylePr w:type="band1Vert">
      <w:tblPr/>
      <w:tcPr>
        <w:shd w:val="clear" w:color="auto" w:fill="DAEEF3" w:themeFill="accent5" w:themeFillTint="33"/>
      </w:tcPr>
    </w:tblStylePr>
    <w:tblStylePr w:type="band1Horz">
      <w:tblPr/>
      <w:tcPr>
        <w:shd w:val="clear" w:color="auto" w:fill="DAEEF3" w:themeFill="accent5" w:themeFillTint="33"/>
      </w:tcPr>
    </w:tblStylePr>
    <w:tblStylePr w:type="neCell">
      <w:tblPr/>
      <w:tcPr>
        <w:tcBorders>
          <w:left w:val="nil"/>
        </w:tcBorders>
      </w:tcPr>
    </w:tblStylePr>
    <w:tblStylePr w:type="nwCell">
      <w:tblPr/>
      <w:tcPr>
        <w:tcBorders>
          <w:right w:val="nil"/>
        </w:tcBorders>
      </w:tcPr>
    </w:tblStylePr>
    <w:tblStylePr w:type="seCell">
      <w:tblPr/>
      <w:tcPr>
        <w:tcBorders>
          <w:left w:val="nil"/>
        </w:tcBorders>
      </w:tcPr>
    </w:tblStylePr>
    <w:tblStylePr w:type="swCell">
      <w:tblPr/>
      <w:tcPr>
        <w:tcBorders>
          <w:right w:val="nil"/>
        </w:tcBorders>
      </w:tcPr>
    </w:tblStylePr>
  </w:style>
  <w:style w:type="table" w:styleId="ListTable7Colorful-Accent6">
    <w:name w:val="List Table 7 Colorful Accent 6"/>
    <w:basedOn w:val="TableNormal"/>
    <w:uiPriority w:val="52"/>
    <w:rsid w:val="00167B18"/>
    <w:pPr>
      <w:spacing w:after="0" w:line="240" w:lineRule="auto"/>
    </w:pPr>
    <w:rPr>
      <w:color w:val="E36C0A" w:themeColor="accent6" w:themeShade="BF"/>
    </w:rPr>
    <w:tblPr>
      <w:tblStyleRowBandSize w:val="1"/>
      <w:tblStyleColBandSize w:val="1"/>
    </w:tblPr>
    <w:tblStylePr w:type="firstRow">
      <w:rPr>
        <w:rFonts w:asciiTheme="majorHAnsi" w:eastAsiaTheme="majorEastAsia" w:hAnsiTheme="majorHAnsi" w:cstheme="majorBidi"/>
        <w:i/>
        <w:iCs/>
        <w:sz w:val="26"/>
      </w:rPr>
      <w:tblPr/>
      <w:tcPr>
        <w:tcBorders>
          <w:bottom w:val="single" w:sz="4" w:space="0" w:color="F79646" w:themeColor="accent6"/>
        </w:tcBorders>
        <w:shd w:val="clear" w:color="auto" w:fill="FFFFFF" w:themeFill="background1"/>
      </w:tcPr>
    </w:tblStylePr>
    <w:tblStylePr w:type="lastRow">
      <w:rPr>
        <w:rFonts w:asciiTheme="majorHAnsi" w:eastAsiaTheme="majorEastAsia" w:hAnsiTheme="majorHAnsi" w:cstheme="majorBidi"/>
        <w:i/>
        <w:iCs/>
        <w:sz w:val="26"/>
      </w:rPr>
      <w:tblPr/>
      <w:tcPr>
        <w:tcBorders>
          <w:top w:val="single" w:sz="4" w:space="0" w:color="F79646" w:themeColor="accent6"/>
        </w:tcBorders>
        <w:shd w:val="clear" w:color="auto" w:fill="FFFFFF" w:themeFill="background1"/>
      </w:tcPr>
    </w:tblStylePr>
    <w:tblStylePr w:type="firstCol">
      <w:pPr>
        <w:jc w:val="right"/>
      </w:pPr>
      <w:rPr>
        <w:rFonts w:asciiTheme="majorHAnsi" w:eastAsiaTheme="majorEastAsia" w:hAnsiTheme="majorHAnsi" w:cstheme="majorBidi"/>
        <w:i/>
        <w:iCs/>
        <w:sz w:val="26"/>
      </w:rPr>
      <w:tblPr/>
      <w:tcPr>
        <w:tcBorders>
          <w:right w:val="single" w:sz="4" w:space="0" w:color="F79646" w:themeColor="accent6"/>
        </w:tcBorders>
        <w:shd w:val="clear" w:color="auto" w:fill="FFFFFF" w:themeFill="background1"/>
      </w:tcPr>
    </w:tblStylePr>
    <w:tblStylePr w:type="lastCol">
      <w:rPr>
        <w:rFonts w:asciiTheme="majorHAnsi" w:eastAsiaTheme="majorEastAsia" w:hAnsiTheme="majorHAnsi" w:cstheme="majorBidi"/>
        <w:i/>
        <w:iCs/>
        <w:sz w:val="26"/>
      </w:rPr>
      <w:tblPr/>
      <w:tcPr>
        <w:tcBorders>
          <w:left w:val="single" w:sz="4" w:space="0" w:color="F79646" w:themeColor="accent6"/>
        </w:tcBorders>
        <w:shd w:val="clear" w:color="auto" w:fill="FFFFFF" w:themeFill="background1"/>
      </w:tcPr>
    </w:tblStylePr>
    <w:tblStylePr w:type="band1Vert">
      <w:tblPr/>
      <w:tcPr>
        <w:shd w:val="clear" w:color="auto" w:fill="FDE9D9" w:themeFill="accent6" w:themeFillTint="33"/>
      </w:tcPr>
    </w:tblStylePr>
    <w:tblStylePr w:type="band1Horz">
      <w:tblPr/>
      <w:tcPr>
        <w:shd w:val="clear" w:color="auto" w:fill="FDE9D9" w:themeFill="accent6" w:themeFillTint="33"/>
      </w:tcPr>
    </w:tblStylePr>
    <w:tblStylePr w:type="neCell">
      <w:tblPr/>
      <w:tcPr>
        <w:tcBorders>
          <w:left w:val="nil"/>
        </w:tcBorders>
      </w:tcPr>
    </w:tblStylePr>
    <w:tblStylePr w:type="nwCell">
      <w:tblPr/>
      <w:tcPr>
        <w:tcBorders>
          <w:right w:val="nil"/>
        </w:tcBorders>
      </w:tcPr>
    </w:tblStylePr>
    <w:tblStylePr w:type="seCell">
      <w:tblPr/>
      <w:tcPr>
        <w:tcBorders>
          <w:left w:val="nil"/>
        </w:tcBorders>
      </w:tcPr>
    </w:tblStylePr>
    <w:tblStylePr w:type="swCell">
      <w:tblPr/>
      <w:tcPr>
        <w:tcBorders>
          <w:right w:val="nil"/>
        </w:tcBorders>
      </w:tcPr>
    </w:tblStylePr>
  </w:style>
  <w:style w:type="paragraph" w:styleId="MacroText">
    <w:name w:val="macro"/>
    <w:link w:val="MacroTextChar"/>
    <w:uiPriority w:val="99"/>
    <w:semiHidden/>
    <w:unhideWhenUsed/>
    <w:rsid w:val="00167B18"/>
    <w:pPr>
      <w:tabs>
        <w:tab w:val="left" w:pos="480"/>
        <w:tab w:val="left" w:pos="960"/>
        <w:tab w:val="left" w:pos="1440"/>
        <w:tab w:val="left" w:pos="1920"/>
        <w:tab w:val="left" w:pos="2400"/>
        <w:tab w:val="left" w:pos="2880"/>
        <w:tab w:val="left" w:pos="3360"/>
        <w:tab w:val="left" w:pos="3840"/>
        <w:tab w:val="left" w:pos="4320"/>
      </w:tabs>
      <w:spacing w:after="0" w:line="240" w:lineRule="auto"/>
    </w:pPr>
    <w:rPr>
      <w:rFonts w:ascii="Consolas" w:eastAsia="Times New Roman" w:hAnsi="Consolas" w:cs="Times New Roman"/>
      <w:sz w:val="20"/>
      <w:szCs w:val="20"/>
    </w:rPr>
  </w:style>
  <w:style w:type="character" w:customStyle="1" w:styleId="MacroTextChar">
    <w:name w:val="Macro Text Char"/>
    <w:basedOn w:val="DefaultParagraphFont"/>
    <w:link w:val="MacroText"/>
    <w:uiPriority w:val="99"/>
    <w:semiHidden/>
    <w:rsid w:val="00167B18"/>
    <w:rPr>
      <w:rFonts w:ascii="Consolas" w:eastAsia="Times New Roman" w:hAnsi="Consolas" w:cs="Times New Roman"/>
      <w:sz w:val="20"/>
      <w:szCs w:val="20"/>
    </w:rPr>
  </w:style>
  <w:style w:type="table" w:styleId="MediumGrid1">
    <w:name w:val="Medium Grid 1"/>
    <w:basedOn w:val="TableNormal"/>
    <w:uiPriority w:val="67"/>
    <w:semiHidden/>
    <w:unhideWhenUsed/>
    <w:rsid w:val="00167B18"/>
    <w:pPr>
      <w:spacing w:after="0" w:line="240" w:lineRule="auto"/>
    </w:pPr>
    <w:tblPr>
      <w:tblStyleRowBandSize w:val="1"/>
      <w:tblStyleColBandSize w:val="1"/>
      <w:tblBorders>
        <w:top w:val="single" w:sz="8" w:space="0" w:color="404040" w:themeColor="text1" w:themeTint="BF"/>
        <w:left w:val="single" w:sz="8" w:space="0" w:color="404040" w:themeColor="text1" w:themeTint="BF"/>
        <w:bottom w:val="single" w:sz="8" w:space="0" w:color="404040" w:themeColor="text1" w:themeTint="BF"/>
        <w:right w:val="single" w:sz="8" w:space="0" w:color="404040" w:themeColor="text1" w:themeTint="BF"/>
        <w:insideH w:val="single" w:sz="8" w:space="0" w:color="404040" w:themeColor="text1" w:themeTint="BF"/>
        <w:insideV w:val="single" w:sz="8" w:space="0" w:color="404040" w:themeColor="text1" w:themeTint="BF"/>
      </w:tblBorders>
    </w:tblPr>
    <w:tcPr>
      <w:shd w:val="clear" w:color="auto" w:fill="C0C0C0" w:themeFill="text1" w:themeFillTint="3F"/>
    </w:tcPr>
    <w:tblStylePr w:type="firstRow">
      <w:rPr>
        <w:b/>
        <w:bCs/>
      </w:rPr>
    </w:tblStylePr>
    <w:tblStylePr w:type="lastRow">
      <w:rPr>
        <w:b/>
        <w:bCs/>
      </w:rPr>
      <w:tblPr/>
      <w:tcPr>
        <w:tcBorders>
          <w:top w:val="single" w:sz="18" w:space="0" w:color="404040" w:themeColor="text1" w:themeTint="BF"/>
        </w:tcBorders>
      </w:tcPr>
    </w:tblStylePr>
    <w:tblStylePr w:type="firstCol">
      <w:rPr>
        <w:b/>
        <w:bCs/>
      </w:rPr>
    </w:tblStylePr>
    <w:tblStylePr w:type="lastCol">
      <w:rPr>
        <w:b/>
        <w:bCs/>
      </w:rPr>
    </w:tblStylePr>
    <w:tblStylePr w:type="band1Vert">
      <w:tblPr/>
      <w:tcPr>
        <w:shd w:val="clear" w:color="auto" w:fill="808080" w:themeFill="text1" w:themeFillTint="7F"/>
      </w:tcPr>
    </w:tblStylePr>
    <w:tblStylePr w:type="band1Horz">
      <w:tblPr/>
      <w:tcPr>
        <w:shd w:val="clear" w:color="auto" w:fill="808080" w:themeFill="text1" w:themeFillTint="7F"/>
      </w:tcPr>
    </w:tblStylePr>
  </w:style>
  <w:style w:type="table" w:styleId="MediumGrid1-Accent1">
    <w:name w:val="Medium Grid 1 Accent 1"/>
    <w:basedOn w:val="TableNormal"/>
    <w:uiPriority w:val="67"/>
    <w:semiHidden/>
    <w:unhideWhenUsed/>
    <w:rsid w:val="00167B18"/>
    <w:pPr>
      <w:spacing w:after="0" w:line="240" w:lineRule="auto"/>
    </w:pPr>
    <w:tblPr>
      <w:tblStyleRowBandSize w:val="1"/>
      <w:tblStyleColBandSize w:val="1"/>
      <w:tblBorders>
        <w:top w:val="single" w:sz="8" w:space="0" w:color="7BA0CD" w:themeColor="accent1" w:themeTint="BF"/>
        <w:left w:val="single" w:sz="8" w:space="0" w:color="7BA0CD" w:themeColor="accent1" w:themeTint="BF"/>
        <w:bottom w:val="single" w:sz="8" w:space="0" w:color="7BA0CD" w:themeColor="accent1" w:themeTint="BF"/>
        <w:right w:val="single" w:sz="8" w:space="0" w:color="7BA0CD" w:themeColor="accent1" w:themeTint="BF"/>
        <w:insideH w:val="single" w:sz="8" w:space="0" w:color="7BA0CD" w:themeColor="accent1" w:themeTint="BF"/>
        <w:insideV w:val="single" w:sz="8" w:space="0" w:color="7BA0CD" w:themeColor="accent1" w:themeTint="BF"/>
      </w:tblBorders>
    </w:tblPr>
    <w:tcPr>
      <w:shd w:val="clear" w:color="auto" w:fill="D3DFEE" w:themeFill="accent1" w:themeFillTint="3F"/>
    </w:tcPr>
    <w:tblStylePr w:type="firstRow">
      <w:rPr>
        <w:b/>
        <w:bCs/>
      </w:rPr>
    </w:tblStylePr>
    <w:tblStylePr w:type="lastRow">
      <w:rPr>
        <w:b/>
        <w:bCs/>
      </w:rPr>
      <w:tblPr/>
      <w:tcPr>
        <w:tcBorders>
          <w:top w:val="single" w:sz="18" w:space="0" w:color="7BA0CD" w:themeColor="accent1" w:themeTint="BF"/>
        </w:tcBorders>
      </w:tcPr>
    </w:tblStylePr>
    <w:tblStylePr w:type="firstCol">
      <w:rPr>
        <w:b/>
        <w:bCs/>
      </w:rPr>
    </w:tblStylePr>
    <w:tblStylePr w:type="lastCol">
      <w:rPr>
        <w:b/>
        <w:bCs/>
      </w:rPr>
    </w:tblStylePr>
    <w:tblStylePr w:type="band1Vert">
      <w:tblPr/>
      <w:tcPr>
        <w:shd w:val="clear" w:color="auto" w:fill="A7BFDE" w:themeFill="accent1" w:themeFillTint="7F"/>
      </w:tcPr>
    </w:tblStylePr>
    <w:tblStylePr w:type="band1Horz">
      <w:tblPr/>
      <w:tcPr>
        <w:shd w:val="clear" w:color="auto" w:fill="A7BFDE" w:themeFill="accent1" w:themeFillTint="7F"/>
      </w:tcPr>
    </w:tblStylePr>
  </w:style>
  <w:style w:type="table" w:styleId="MediumGrid1-Accent2">
    <w:name w:val="Medium Grid 1 Accent 2"/>
    <w:basedOn w:val="TableNormal"/>
    <w:uiPriority w:val="67"/>
    <w:semiHidden/>
    <w:unhideWhenUsed/>
    <w:rsid w:val="00167B18"/>
    <w:pPr>
      <w:spacing w:after="0" w:line="240" w:lineRule="auto"/>
    </w:pPr>
    <w:tblPr>
      <w:tblStyleRowBandSize w:val="1"/>
      <w:tblStyleColBandSize w:val="1"/>
      <w:tblBorders>
        <w:top w:val="single" w:sz="8" w:space="0" w:color="CF7B79" w:themeColor="accent2" w:themeTint="BF"/>
        <w:left w:val="single" w:sz="8" w:space="0" w:color="CF7B79" w:themeColor="accent2" w:themeTint="BF"/>
        <w:bottom w:val="single" w:sz="8" w:space="0" w:color="CF7B79" w:themeColor="accent2" w:themeTint="BF"/>
        <w:right w:val="single" w:sz="8" w:space="0" w:color="CF7B79" w:themeColor="accent2" w:themeTint="BF"/>
        <w:insideH w:val="single" w:sz="8" w:space="0" w:color="CF7B79" w:themeColor="accent2" w:themeTint="BF"/>
        <w:insideV w:val="single" w:sz="8" w:space="0" w:color="CF7B79" w:themeColor="accent2" w:themeTint="BF"/>
      </w:tblBorders>
    </w:tblPr>
    <w:tcPr>
      <w:shd w:val="clear" w:color="auto" w:fill="EFD3D2" w:themeFill="accent2" w:themeFillTint="3F"/>
    </w:tcPr>
    <w:tblStylePr w:type="firstRow">
      <w:rPr>
        <w:b/>
        <w:bCs/>
      </w:rPr>
    </w:tblStylePr>
    <w:tblStylePr w:type="lastRow">
      <w:rPr>
        <w:b/>
        <w:bCs/>
      </w:rPr>
      <w:tblPr/>
      <w:tcPr>
        <w:tcBorders>
          <w:top w:val="single" w:sz="18" w:space="0" w:color="CF7B79" w:themeColor="accent2" w:themeTint="BF"/>
        </w:tcBorders>
      </w:tcPr>
    </w:tblStylePr>
    <w:tblStylePr w:type="firstCol">
      <w:rPr>
        <w:b/>
        <w:bCs/>
      </w:rPr>
    </w:tblStylePr>
    <w:tblStylePr w:type="lastCol">
      <w:rPr>
        <w:b/>
        <w:bCs/>
      </w:rPr>
    </w:tblStylePr>
    <w:tblStylePr w:type="band1Vert">
      <w:tblPr/>
      <w:tcPr>
        <w:shd w:val="clear" w:color="auto" w:fill="DFA7A6" w:themeFill="accent2" w:themeFillTint="7F"/>
      </w:tcPr>
    </w:tblStylePr>
    <w:tblStylePr w:type="band1Horz">
      <w:tblPr/>
      <w:tcPr>
        <w:shd w:val="clear" w:color="auto" w:fill="DFA7A6" w:themeFill="accent2" w:themeFillTint="7F"/>
      </w:tcPr>
    </w:tblStylePr>
  </w:style>
  <w:style w:type="table" w:styleId="MediumGrid1-Accent3">
    <w:name w:val="Medium Grid 1 Accent 3"/>
    <w:basedOn w:val="TableNormal"/>
    <w:uiPriority w:val="67"/>
    <w:semiHidden/>
    <w:unhideWhenUsed/>
    <w:rsid w:val="00167B18"/>
    <w:pPr>
      <w:spacing w:after="0" w:line="240" w:lineRule="auto"/>
    </w:pPr>
    <w:tblPr>
      <w:tblStyleRowBandSize w:val="1"/>
      <w:tblStyleColBandSize w:val="1"/>
      <w:tblBorders>
        <w:top w:val="single" w:sz="8" w:space="0" w:color="B3CC82" w:themeColor="accent3" w:themeTint="BF"/>
        <w:left w:val="single" w:sz="8" w:space="0" w:color="B3CC82" w:themeColor="accent3" w:themeTint="BF"/>
        <w:bottom w:val="single" w:sz="8" w:space="0" w:color="B3CC82" w:themeColor="accent3" w:themeTint="BF"/>
        <w:right w:val="single" w:sz="8" w:space="0" w:color="B3CC82" w:themeColor="accent3" w:themeTint="BF"/>
        <w:insideH w:val="single" w:sz="8" w:space="0" w:color="B3CC82" w:themeColor="accent3" w:themeTint="BF"/>
        <w:insideV w:val="single" w:sz="8" w:space="0" w:color="B3CC82" w:themeColor="accent3" w:themeTint="BF"/>
      </w:tblBorders>
    </w:tblPr>
    <w:tcPr>
      <w:shd w:val="clear" w:color="auto" w:fill="E6EED5" w:themeFill="accent3" w:themeFillTint="3F"/>
    </w:tcPr>
    <w:tblStylePr w:type="firstRow">
      <w:rPr>
        <w:b/>
        <w:bCs/>
      </w:rPr>
    </w:tblStylePr>
    <w:tblStylePr w:type="lastRow">
      <w:rPr>
        <w:b/>
        <w:bCs/>
      </w:rPr>
      <w:tblPr/>
      <w:tcPr>
        <w:tcBorders>
          <w:top w:val="single" w:sz="18" w:space="0" w:color="B3CC82" w:themeColor="accent3" w:themeTint="BF"/>
        </w:tcBorders>
      </w:tcPr>
    </w:tblStylePr>
    <w:tblStylePr w:type="firstCol">
      <w:rPr>
        <w:b/>
        <w:bCs/>
      </w:rPr>
    </w:tblStylePr>
    <w:tblStylePr w:type="lastCol">
      <w:rPr>
        <w:b/>
        <w:bCs/>
      </w:rPr>
    </w:tblStylePr>
    <w:tblStylePr w:type="band1Vert">
      <w:tblPr/>
      <w:tcPr>
        <w:shd w:val="clear" w:color="auto" w:fill="CDDDAC" w:themeFill="accent3" w:themeFillTint="7F"/>
      </w:tcPr>
    </w:tblStylePr>
    <w:tblStylePr w:type="band1Horz">
      <w:tblPr/>
      <w:tcPr>
        <w:shd w:val="clear" w:color="auto" w:fill="CDDDAC" w:themeFill="accent3" w:themeFillTint="7F"/>
      </w:tcPr>
    </w:tblStylePr>
  </w:style>
  <w:style w:type="table" w:styleId="MediumGrid1-Accent4">
    <w:name w:val="Medium Grid 1 Accent 4"/>
    <w:basedOn w:val="TableNormal"/>
    <w:uiPriority w:val="67"/>
    <w:semiHidden/>
    <w:unhideWhenUsed/>
    <w:rsid w:val="00167B18"/>
    <w:pPr>
      <w:spacing w:after="0" w:line="240" w:lineRule="auto"/>
    </w:pPr>
    <w:tblPr>
      <w:tblStyleRowBandSize w:val="1"/>
      <w:tblStyleColBandSize w:val="1"/>
      <w:tblBorders>
        <w:top w:val="single" w:sz="8" w:space="0" w:color="9F8AB9" w:themeColor="accent4" w:themeTint="BF"/>
        <w:left w:val="single" w:sz="8" w:space="0" w:color="9F8AB9" w:themeColor="accent4" w:themeTint="BF"/>
        <w:bottom w:val="single" w:sz="8" w:space="0" w:color="9F8AB9" w:themeColor="accent4" w:themeTint="BF"/>
        <w:right w:val="single" w:sz="8" w:space="0" w:color="9F8AB9" w:themeColor="accent4" w:themeTint="BF"/>
        <w:insideH w:val="single" w:sz="8" w:space="0" w:color="9F8AB9" w:themeColor="accent4" w:themeTint="BF"/>
        <w:insideV w:val="single" w:sz="8" w:space="0" w:color="9F8AB9" w:themeColor="accent4" w:themeTint="BF"/>
      </w:tblBorders>
    </w:tblPr>
    <w:tcPr>
      <w:shd w:val="clear" w:color="auto" w:fill="DFD8E8" w:themeFill="accent4" w:themeFillTint="3F"/>
    </w:tcPr>
    <w:tblStylePr w:type="firstRow">
      <w:rPr>
        <w:b/>
        <w:bCs/>
      </w:rPr>
    </w:tblStylePr>
    <w:tblStylePr w:type="lastRow">
      <w:rPr>
        <w:b/>
        <w:bCs/>
      </w:rPr>
      <w:tblPr/>
      <w:tcPr>
        <w:tcBorders>
          <w:top w:val="single" w:sz="18" w:space="0" w:color="9F8AB9" w:themeColor="accent4" w:themeTint="BF"/>
        </w:tcBorders>
      </w:tcPr>
    </w:tblStylePr>
    <w:tblStylePr w:type="firstCol">
      <w:rPr>
        <w:b/>
        <w:bCs/>
      </w:rPr>
    </w:tblStylePr>
    <w:tblStylePr w:type="lastCol">
      <w:rPr>
        <w:b/>
        <w:bCs/>
      </w:rPr>
    </w:tblStylePr>
    <w:tblStylePr w:type="band1Vert">
      <w:tblPr/>
      <w:tcPr>
        <w:shd w:val="clear" w:color="auto" w:fill="BFB1D0" w:themeFill="accent4" w:themeFillTint="7F"/>
      </w:tcPr>
    </w:tblStylePr>
    <w:tblStylePr w:type="band1Horz">
      <w:tblPr/>
      <w:tcPr>
        <w:shd w:val="clear" w:color="auto" w:fill="BFB1D0" w:themeFill="accent4" w:themeFillTint="7F"/>
      </w:tcPr>
    </w:tblStylePr>
  </w:style>
  <w:style w:type="table" w:styleId="MediumGrid1-Accent5">
    <w:name w:val="Medium Grid 1 Accent 5"/>
    <w:basedOn w:val="TableNormal"/>
    <w:uiPriority w:val="67"/>
    <w:semiHidden/>
    <w:unhideWhenUsed/>
    <w:rsid w:val="00167B18"/>
    <w:pPr>
      <w:spacing w:after="0" w:line="240" w:lineRule="auto"/>
    </w:pPr>
    <w:tblPr>
      <w:tblStyleRowBandSize w:val="1"/>
      <w:tblStyleColBandSize w:val="1"/>
      <w:tblBorders>
        <w:top w:val="single" w:sz="8" w:space="0" w:color="78C0D4" w:themeColor="accent5" w:themeTint="BF"/>
        <w:left w:val="single" w:sz="8" w:space="0" w:color="78C0D4" w:themeColor="accent5" w:themeTint="BF"/>
        <w:bottom w:val="single" w:sz="8" w:space="0" w:color="78C0D4" w:themeColor="accent5" w:themeTint="BF"/>
        <w:right w:val="single" w:sz="8" w:space="0" w:color="78C0D4" w:themeColor="accent5" w:themeTint="BF"/>
        <w:insideH w:val="single" w:sz="8" w:space="0" w:color="78C0D4" w:themeColor="accent5" w:themeTint="BF"/>
        <w:insideV w:val="single" w:sz="8" w:space="0" w:color="78C0D4" w:themeColor="accent5" w:themeTint="BF"/>
      </w:tblBorders>
    </w:tblPr>
    <w:tcPr>
      <w:shd w:val="clear" w:color="auto" w:fill="D2EAF1" w:themeFill="accent5" w:themeFillTint="3F"/>
    </w:tcPr>
    <w:tblStylePr w:type="firstRow">
      <w:rPr>
        <w:b/>
        <w:bCs/>
      </w:rPr>
    </w:tblStylePr>
    <w:tblStylePr w:type="lastRow">
      <w:rPr>
        <w:b/>
        <w:bCs/>
      </w:rPr>
      <w:tblPr/>
      <w:tcPr>
        <w:tcBorders>
          <w:top w:val="single" w:sz="18" w:space="0" w:color="78C0D4" w:themeColor="accent5" w:themeTint="BF"/>
        </w:tcBorders>
      </w:tcPr>
    </w:tblStylePr>
    <w:tblStylePr w:type="firstCol">
      <w:rPr>
        <w:b/>
        <w:bCs/>
      </w:rPr>
    </w:tblStylePr>
    <w:tblStylePr w:type="lastCol">
      <w:rPr>
        <w:b/>
        <w:bCs/>
      </w:rPr>
    </w:tblStylePr>
    <w:tblStylePr w:type="band1Vert">
      <w:tblPr/>
      <w:tcPr>
        <w:shd w:val="clear" w:color="auto" w:fill="A5D5E2" w:themeFill="accent5" w:themeFillTint="7F"/>
      </w:tcPr>
    </w:tblStylePr>
    <w:tblStylePr w:type="band1Horz">
      <w:tblPr/>
      <w:tcPr>
        <w:shd w:val="clear" w:color="auto" w:fill="A5D5E2" w:themeFill="accent5" w:themeFillTint="7F"/>
      </w:tcPr>
    </w:tblStylePr>
  </w:style>
  <w:style w:type="table" w:styleId="MediumGrid1-Accent6">
    <w:name w:val="Medium Grid 1 Accent 6"/>
    <w:basedOn w:val="TableNormal"/>
    <w:uiPriority w:val="67"/>
    <w:semiHidden/>
    <w:unhideWhenUsed/>
    <w:rsid w:val="00167B18"/>
    <w:pPr>
      <w:spacing w:after="0" w:line="240" w:lineRule="auto"/>
    </w:pPr>
    <w:tblPr>
      <w:tblStyleRowBandSize w:val="1"/>
      <w:tblStyleColBandSize w:val="1"/>
      <w:tblBorders>
        <w:top w:val="single" w:sz="8" w:space="0" w:color="F9B074" w:themeColor="accent6" w:themeTint="BF"/>
        <w:left w:val="single" w:sz="8" w:space="0" w:color="F9B074" w:themeColor="accent6" w:themeTint="BF"/>
        <w:bottom w:val="single" w:sz="8" w:space="0" w:color="F9B074" w:themeColor="accent6" w:themeTint="BF"/>
        <w:right w:val="single" w:sz="8" w:space="0" w:color="F9B074" w:themeColor="accent6" w:themeTint="BF"/>
        <w:insideH w:val="single" w:sz="8" w:space="0" w:color="F9B074" w:themeColor="accent6" w:themeTint="BF"/>
        <w:insideV w:val="single" w:sz="8" w:space="0" w:color="F9B074" w:themeColor="accent6" w:themeTint="BF"/>
      </w:tblBorders>
    </w:tblPr>
    <w:tcPr>
      <w:shd w:val="clear" w:color="auto" w:fill="FDE4D0" w:themeFill="accent6" w:themeFillTint="3F"/>
    </w:tcPr>
    <w:tblStylePr w:type="firstRow">
      <w:rPr>
        <w:b/>
        <w:bCs/>
      </w:rPr>
    </w:tblStylePr>
    <w:tblStylePr w:type="lastRow">
      <w:rPr>
        <w:b/>
        <w:bCs/>
      </w:rPr>
      <w:tblPr/>
      <w:tcPr>
        <w:tcBorders>
          <w:top w:val="single" w:sz="18" w:space="0" w:color="F9B074" w:themeColor="accent6" w:themeTint="BF"/>
        </w:tcBorders>
      </w:tcPr>
    </w:tblStylePr>
    <w:tblStylePr w:type="firstCol">
      <w:rPr>
        <w:b/>
        <w:bCs/>
      </w:rPr>
    </w:tblStylePr>
    <w:tblStylePr w:type="lastCol">
      <w:rPr>
        <w:b/>
        <w:bCs/>
      </w:rPr>
    </w:tblStylePr>
    <w:tblStylePr w:type="band1Vert">
      <w:tblPr/>
      <w:tcPr>
        <w:shd w:val="clear" w:color="auto" w:fill="FBCAA2" w:themeFill="accent6" w:themeFillTint="7F"/>
      </w:tcPr>
    </w:tblStylePr>
    <w:tblStylePr w:type="band1Horz">
      <w:tblPr/>
      <w:tcPr>
        <w:shd w:val="clear" w:color="auto" w:fill="FBCAA2" w:themeFill="accent6" w:themeFillTint="7F"/>
      </w:tcPr>
    </w:tblStylePr>
  </w:style>
  <w:style w:type="table" w:styleId="MediumGrid2">
    <w:name w:val="Medium Grid 2"/>
    <w:basedOn w:val="TableNormal"/>
    <w:uiPriority w:val="68"/>
    <w:semiHidden/>
    <w:unhideWhenUsed/>
    <w:rsid w:val="00167B18"/>
    <w:pPr>
      <w:spacing w:after="0" w:line="240" w:lineRule="auto"/>
    </w:pPr>
    <w:rPr>
      <w:rFonts w:asciiTheme="majorHAnsi" w:eastAsiaTheme="majorEastAsia" w:hAnsiTheme="majorHAnsi" w:cstheme="majorBidi"/>
      <w:color w:val="000000" w:themeColor="text1"/>
    </w:rPr>
    <w:tblPr>
      <w:tblStyleRowBandSize w:val="1"/>
      <w:tblStyleColBandSize w:val="1"/>
      <w:tblBorders>
        <w:top w:val="single" w:sz="8" w:space="0" w:color="000000" w:themeColor="text1"/>
        <w:left w:val="single" w:sz="8" w:space="0" w:color="000000" w:themeColor="text1"/>
        <w:bottom w:val="single" w:sz="8" w:space="0" w:color="000000" w:themeColor="text1"/>
        <w:right w:val="single" w:sz="8" w:space="0" w:color="000000" w:themeColor="text1"/>
        <w:insideH w:val="single" w:sz="8" w:space="0" w:color="000000" w:themeColor="text1"/>
        <w:insideV w:val="single" w:sz="8" w:space="0" w:color="000000" w:themeColor="text1"/>
      </w:tblBorders>
    </w:tblPr>
    <w:tcPr>
      <w:shd w:val="clear" w:color="auto" w:fill="C0C0C0" w:themeFill="text1" w:themeFillTint="3F"/>
    </w:tcPr>
    <w:tblStylePr w:type="firstRow">
      <w:rPr>
        <w:b/>
        <w:bCs/>
        <w:color w:val="000000" w:themeColor="text1"/>
      </w:rPr>
      <w:tblPr/>
      <w:tcPr>
        <w:shd w:val="clear" w:color="auto" w:fill="E6E6E6" w:themeFill="text1" w:themeFillTint="19"/>
      </w:tcPr>
    </w:tblStylePr>
    <w:tblStylePr w:type="lastRow">
      <w:rPr>
        <w:b/>
        <w:bCs/>
        <w:color w:val="000000" w:themeColor="text1"/>
      </w:rPr>
      <w:tblPr/>
      <w:tcPr>
        <w:tcBorders>
          <w:top w:val="single" w:sz="12" w:space="0" w:color="000000" w:themeColor="text1"/>
          <w:left w:val="nil"/>
          <w:bottom w:val="nil"/>
          <w:right w:val="nil"/>
          <w:insideH w:val="nil"/>
          <w:insideV w:val="nil"/>
        </w:tcBorders>
        <w:shd w:val="clear" w:color="auto" w:fill="FFFFFF" w:themeFill="background1"/>
      </w:tcPr>
    </w:tblStylePr>
    <w:tblStylePr w:type="firstCol">
      <w:rPr>
        <w:b/>
        <w:bCs/>
        <w:color w:val="000000" w:themeColor="text1"/>
      </w:rPr>
      <w:tblPr/>
      <w:tcPr>
        <w:tcBorders>
          <w:top w:val="nil"/>
          <w:left w:val="nil"/>
          <w:bottom w:val="nil"/>
          <w:right w:val="nil"/>
          <w:insideH w:val="nil"/>
          <w:insideV w:val="nil"/>
        </w:tcBorders>
        <w:shd w:val="clear" w:color="auto" w:fill="FFFFFF" w:themeFill="background1"/>
      </w:tcPr>
    </w:tblStylePr>
    <w:tblStylePr w:type="lastCol">
      <w:rPr>
        <w:b w:val="0"/>
        <w:bCs w:val="0"/>
        <w:color w:val="000000" w:themeColor="text1"/>
      </w:rPr>
      <w:tblPr/>
      <w:tcPr>
        <w:tcBorders>
          <w:top w:val="nil"/>
          <w:left w:val="nil"/>
          <w:bottom w:val="nil"/>
          <w:right w:val="nil"/>
          <w:insideH w:val="nil"/>
          <w:insideV w:val="nil"/>
        </w:tcBorders>
        <w:shd w:val="clear" w:color="auto" w:fill="CCCCCC" w:themeFill="text1" w:themeFillTint="33"/>
      </w:tcPr>
    </w:tblStylePr>
    <w:tblStylePr w:type="band1Vert">
      <w:tblPr/>
      <w:tcPr>
        <w:shd w:val="clear" w:color="auto" w:fill="808080" w:themeFill="text1" w:themeFillTint="7F"/>
      </w:tcPr>
    </w:tblStylePr>
    <w:tblStylePr w:type="band1Horz">
      <w:tblPr/>
      <w:tcPr>
        <w:tcBorders>
          <w:insideH w:val="single" w:sz="6" w:space="0" w:color="000000" w:themeColor="text1"/>
          <w:insideV w:val="single" w:sz="6" w:space="0" w:color="000000" w:themeColor="text1"/>
        </w:tcBorders>
        <w:shd w:val="clear" w:color="auto" w:fill="808080" w:themeFill="text1" w:themeFillTint="7F"/>
      </w:tcPr>
    </w:tblStylePr>
    <w:tblStylePr w:type="nwCell">
      <w:tblPr/>
      <w:tcPr>
        <w:shd w:val="clear" w:color="auto" w:fill="FFFFFF" w:themeFill="background1"/>
      </w:tcPr>
    </w:tblStylePr>
  </w:style>
  <w:style w:type="table" w:styleId="MediumGrid2-Accent1">
    <w:name w:val="Medium Grid 2 Accent 1"/>
    <w:basedOn w:val="TableNormal"/>
    <w:uiPriority w:val="68"/>
    <w:semiHidden/>
    <w:unhideWhenUsed/>
    <w:rsid w:val="00167B18"/>
    <w:pPr>
      <w:spacing w:after="0" w:line="240" w:lineRule="auto"/>
    </w:pPr>
    <w:rPr>
      <w:rFonts w:asciiTheme="majorHAnsi" w:eastAsiaTheme="majorEastAsia" w:hAnsiTheme="majorHAnsi" w:cstheme="majorBidi"/>
      <w:color w:val="000000" w:themeColor="text1"/>
    </w:rPr>
    <w:tblPr>
      <w:tblStyleRowBandSize w:val="1"/>
      <w:tblStyleColBandSize w:val="1"/>
      <w:tblBorders>
        <w:top w:val="single" w:sz="8" w:space="0" w:color="4F81BD" w:themeColor="accent1"/>
        <w:left w:val="single" w:sz="8" w:space="0" w:color="4F81BD" w:themeColor="accent1"/>
        <w:bottom w:val="single" w:sz="8" w:space="0" w:color="4F81BD" w:themeColor="accent1"/>
        <w:right w:val="single" w:sz="8" w:space="0" w:color="4F81BD" w:themeColor="accent1"/>
        <w:insideH w:val="single" w:sz="8" w:space="0" w:color="4F81BD" w:themeColor="accent1"/>
        <w:insideV w:val="single" w:sz="8" w:space="0" w:color="4F81BD" w:themeColor="accent1"/>
      </w:tblBorders>
    </w:tblPr>
    <w:tcPr>
      <w:shd w:val="clear" w:color="auto" w:fill="D3DFEE" w:themeFill="accent1" w:themeFillTint="3F"/>
    </w:tcPr>
    <w:tblStylePr w:type="firstRow">
      <w:rPr>
        <w:b/>
        <w:bCs/>
        <w:color w:val="000000" w:themeColor="text1"/>
      </w:rPr>
      <w:tblPr/>
      <w:tcPr>
        <w:shd w:val="clear" w:color="auto" w:fill="EDF2F8" w:themeFill="accent1" w:themeFillTint="19"/>
      </w:tcPr>
    </w:tblStylePr>
    <w:tblStylePr w:type="lastRow">
      <w:rPr>
        <w:b/>
        <w:bCs/>
        <w:color w:val="000000" w:themeColor="text1"/>
      </w:rPr>
      <w:tblPr/>
      <w:tcPr>
        <w:tcBorders>
          <w:top w:val="single" w:sz="12" w:space="0" w:color="000000" w:themeColor="text1"/>
          <w:left w:val="nil"/>
          <w:bottom w:val="nil"/>
          <w:right w:val="nil"/>
          <w:insideH w:val="nil"/>
          <w:insideV w:val="nil"/>
        </w:tcBorders>
        <w:shd w:val="clear" w:color="auto" w:fill="FFFFFF" w:themeFill="background1"/>
      </w:tcPr>
    </w:tblStylePr>
    <w:tblStylePr w:type="firstCol">
      <w:rPr>
        <w:b/>
        <w:bCs/>
        <w:color w:val="000000" w:themeColor="text1"/>
      </w:rPr>
      <w:tblPr/>
      <w:tcPr>
        <w:tcBorders>
          <w:top w:val="nil"/>
          <w:left w:val="nil"/>
          <w:bottom w:val="nil"/>
          <w:right w:val="nil"/>
          <w:insideH w:val="nil"/>
          <w:insideV w:val="nil"/>
        </w:tcBorders>
        <w:shd w:val="clear" w:color="auto" w:fill="FFFFFF" w:themeFill="background1"/>
      </w:tcPr>
    </w:tblStylePr>
    <w:tblStylePr w:type="lastCol">
      <w:rPr>
        <w:b w:val="0"/>
        <w:bCs w:val="0"/>
        <w:color w:val="000000" w:themeColor="text1"/>
      </w:rPr>
      <w:tblPr/>
      <w:tcPr>
        <w:tcBorders>
          <w:top w:val="nil"/>
          <w:left w:val="nil"/>
          <w:bottom w:val="nil"/>
          <w:right w:val="nil"/>
          <w:insideH w:val="nil"/>
          <w:insideV w:val="nil"/>
        </w:tcBorders>
        <w:shd w:val="clear" w:color="auto" w:fill="DBE5F1" w:themeFill="accent1" w:themeFillTint="33"/>
      </w:tcPr>
    </w:tblStylePr>
    <w:tblStylePr w:type="band1Vert">
      <w:tblPr/>
      <w:tcPr>
        <w:shd w:val="clear" w:color="auto" w:fill="A7BFDE" w:themeFill="accent1" w:themeFillTint="7F"/>
      </w:tcPr>
    </w:tblStylePr>
    <w:tblStylePr w:type="band1Horz">
      <w:tblPr/>
      <w:tcPr>
        <w:tcBorders>
          <w:insideH w:val="single" w:sz="6" w:space="0" w:color="4F81BD" w:themeColor="accent1"/>
          <w:insideV w:val="single" w:sz="6" w:space="0" w:color="4F81BD" w:themeColor="accent1"/>
        </w:tcBorders>
        <w:shd w:val="clear" w:color="auto" w:fill="A7BFDE" w:themeFill="accent1" w:themeFillTint="7F"/>
      </w:tcPr>
    </w:tblStylePr>
    <w:tblStylePr w:type="nwCell">
      <w:tblPr/>
      <w:tcPr>
        <w:shd w:val="clear" w:color="auto" w:fill="FFFFFF" w:themeFill="background1"/>
      </w:tcPr>
    </w:tblStylePr>
  </w:style>
  <w:style w:type="table" w:styleId="MediumGrid2-Accent2">
    <w:name w:val="Medium Grid 2 Accent 2"/>
    <w:basedOn w:val="TableNormal"/>
    <w:uiPriority w:val="68"/>
    <w:semiHidden/>
    <w:unhideWhenUsed/>
    <w:rsid w:val="00167B18"/>
    <w:pPr>
      <w:spacing w:after="0" w:line="240" w:lineRule="auto"/>
    </w:pPr>
    <w:rPr>
      <w:rFonts w:asciiTheme="majorHAnsi" w:eastAsiaTheme="majorEastAsia" w:hAnsiTheme="majorHAnsi" w:cstheme="majorBidi"/>
      <w:color w:val="000000" w:themeColor="text1"/>
    </w:rPr>
    <w:tblPr>
      <w:tblStyleRowBandSize w:val="1"/>
      <w:tblStyleColBandSize w:val="1"/>
      <w:tblBorders>
        <w:top w:val="single" w:sz="8" w:space="0" w:color="C0504D" w:themeColor="accent2"/>
        <w:left w:val="single" w:sz="8" w:space="0" w:color="C0504D" w:themeColor="accent2"/>
        <w:bottom w:val="single" w:sz="8" w:space="0" w:color="C0504D" w:themeColor="accent2"/>
        <w:right w:val="single" w:sz="8" w:space="0" w:color="C0504D" w:themeColor="accent2"/>
        <w:insideH w:val="single" w:sz="8" w:space="0" w:color="C0504D" w:themeColor="accent2"/>
        <w:insideV w:val="single" w:sz="8" w:space="0" w:color="C0504D" w:themeColor="accent2"/>
      </w:tblBorders>
    </w:tblPr>
    <w:tcPr>
      <w:shd w:val="clear" w:color="auto" w:fill="EFD3D2" w:themeFill="accent2" w:themeFillTint="3F"/>
    </w:tcPr>
    <w:tblStylePr w:type="firstRow">
      <w:rPr>
        <w:b/>
        <w:bCs/>
        <w:color w:val="000000" w:themeColor="text1"/>
      </w:rPr>
      <w:tblPr/>
      <w:tcPr>
        <w:shd w:val="clear" w:color="auto" w:fill="F8EDED" w:themeFill="accent2" w:themeFillTint="19"/>
      </w:tcPr>
    </w:tblStylePr>
    <w:tblStylePr w:type="lastRow">
      <w:rPr>
        <w:b/>
        <w:bCs/>
        <w:color w:val="000000" w:themeColor="text1"/>
      </w:rPr>
      <w:tblPr/>
      <w:tcPr>
        <w:tcBorders>
          <w:top w:val="single" w:sz="12" w:space="0" w:color="000000" w:themeColor="text1"/>
          <w:left w:val="nil"/>
          <w:bottom w:val="nil"/>
          <w:right w:val="nil"/>
          <w:insideH w:val="nil"/>
          <w:insideV w:val="nil"/>
        </w:tcBorders>
        <w:shd w:val="clear" w:color="auto" w:fill="FFFFFF" w:themeFill="background1"/>
      </w:tcPr>
    </w:tblStylePr>
    <w:tblStylePr w:type="firstCol">
      <w:rPr>
        <w:b/>
        <w:bCs/>
        <w:color w:val="000000" w:themeColor="text1"/>
      </w:rPr>
      <w:tblPr/>
      <w:tcPr>
        <w:tcBorders>
          <w:top w:val="nil"/>
          <w:left w:val="nil"/>
          <w:bottom w:val="nil"/>
          <w:right w:val="nil"/>
          <w:insideH w:val="nil"/>
          <w:insideV w:val="nil"/>
        </w:tcBorders>
        <w:shd w:val="clear" w:color="auto" w:fill="FFFFFF" w:themeFill="background1"/>
      </w:tcPr>
    </w:tblStylePr>
    <w:tblStylePr w:type="lastCol">
      <w:rPr>
        <w:b w:val="0"/>
        <w:bCs w:val="0"/>
        <w:color w:val="000000" w:themeColor="text1"/>
      </w:rPr>
      <w:tblPr/>
      <w:tcPr>
        <w:tcBorders>
          <w:top w:val="nil"/>
          <w:left w:val="nil"/>
          <w:bottom w:val="nil"/>
          <w:right w:val="nil"/>
          <w:insideH w:val="nil"/>
          <w:insideV w:val="nil"/>
        </w:tcBorders>
        <w:shd w:val="clear" w:color="auto" w:fill="F2DBDB" w:themeFill="accent2" w:themeFillTint="33"/>
      </w:tcPr>
    </w:tblStylePr>
    <w:tblStylePr w:type="band1Vert">
      <w:tblPr/>
      <w:tcPr>
        <w:shd w:val="clear" w:color="auto" w:fill="DFA7A6" w:themeFill="accent2" w:themeFillTint="7F"/>
      </w:tcPr>
    </w:tblStylePr>
    <w:tblStylePr w:type="band1Horz">
      <w:tblPr/>
      <w:tcPr>
        <w:tcBorders>
          <w:insideH w:val="single" w:sz="6" w:space="0" w:color="C0504D" w:themeColor="accent2"/>
          <w:insideV w:val="single" w:sz="6" w:space="0" w:color="C0504D" w:themeColor="accent2"/>
        </w:tcBorders>
        <w:shd w:val="clear" w:color="auto" w:fill="DFA7A6" w:themeFill="accent2" w:themeFillTint="7F"/>
      </w:tcPr>
    </w:tblStylePr>
    <w:tblStylePr w:type="nwCell">
      <w:tblPr/>
      <w:tcPr>
        <w:shd w:val="clear" w:color="auto" w:fill="FFFFFF" w:themeFill="background1"/>
      </w:tcPr>
    </w:tblStylePr>
  </w:style>
  <w:style w:type="table" w:styleId="MediumGrid2-Accent3">
    <w:name w:val="Medium Grid 2 Accent 3"/>
    <w:basedOn w:val="TableNormal"/>
    <w:uiPriority w:val="68"/>
    <w:semiHidden/>
    <w:unhideWhenUsed/>
    <w:rsid w:val="00167B18"/>
    <w:pPr>
      <w:spacing w:after="0" w:line="240" w:lineRule="auto"/>
    </w:pPr>
    <w:rPr>
      <w:rFonts w:asciiTheme="majorHAnsi" w:eastAsiaTheme="majorEastAsia" w:hAnsiTheme="majorHAnsi" w:cstheme="majorBidi"/>
      <w:color w:val="000000" w:themeColor="text1"/>
    </w:rPr>
    <w:tblPr>
      <w:tblStyleRowBandSize w:val="1"/>
      <w:tblStyleColBandSize w:val="1"/>
      <w:tblBorders>
        <w:top w:val="single" w:sz="8" w:space="0" w:color="9BBB59" w:themeColor="accent3"/>
        <w:left w:val="single" w:sz="8" w:space="0" w:color="9BBB59" w:themeColor="accent3"/>
        <w:bottom w:val="single" w:sz="8" w:space="0" w:color="9BBB59" w:themeColor="accent3"/>
        <w:right w:val="single" w:sz="8" w:space="0" w:color="9BBB59" w:themeColor="accent3"/>
        <w:insideH w:val="single" w:sz="8" w:space="0" w:color="9BBB59" w:themeColor="accent3"/>
        <w:insideV w:val="single" w:sz="8" w:space="0" w:color="9BBB59" w:themeColor="accent3"/>
      </w:tblBorders>
    </w:tblPr>
    <w:tcPr>
      <w:shd w:val="clear" w:color="auto" w:fill="E6EED5" w:themeFill="accent3" w:themeFillTint="3F"/>
    </w:tcPr>
    <w:tblStylePr w:type="firstRow">
      <w:rPr>
        <w:b/>
        <w:bCs/>
        <w:color w:val="000000" w:themeColor="text1"/>
      </w:rPr>
      <w:tblPr/>
      <w:tcPr>
        <w:shd w:val="clear" w:color="auto" w:fill="F5F8EE" w:themeFill="accent3" w:themeFillTint="19"/>
      </w:tcPr>
    </w:tblStylePr>
    <w:tblStylePr w:type="lastRow">
      <w:rPr>
        <w:b/>
        <w:bCs/>
        <w:color w:val="000000" w:themeColor="text1"/>
      </w:rPr>
      <w:tblPr/>
      <w:tcPr>
        <w:tcBorders>
          <w:top w:val="single" w:sz="12" w:space="0" w:color="000000" w:themeColor="text1"/>
          <w:left w:val="nil"/>
          <w:bottom w:val="nil"/>
          <w:right w:val="nil"/>
          <w:insideH w:val="nil"/>
          <w:insideV w:val="nil"/>
        </w:tcBorders>
        <w:shd w:val="clear" w:color="auto" w:fill="FFFFFF" w:themeFill="background1"/>
      </w:tcPr>
    </w:tblStylePr>
    <w:tblStylePr w:type="firstCol">
      <w:rPr>
        <w:b/>
        <w:bCs/>
        <w:color w:val="000000" w:themeColor="text1"/>
      </w:rPr>
      <w:tblPr/>
      <w:tcPr>
        <w:tcBorders>
          <w:top w:val="nil"/>
          <w:left w:val="nil"/>
          <w:bottom w:val="nil"/>
          <w:right w:val="nil"/>
          <w:insideH w:val="nil"/>
          <w:insideV w:val="nil"/>
        </w:tcBorders>
        <w:shd w:val="clear" w:color="auto" w:fill="FFFFFF" w:themeFill="background1"/>
      </w:tcPr>
    </w:tblStylePr>
    <w:tblStylePr w:type="lastCol">
      <w:rPr>
        <w:b w:val="0"/>
        <w:bCs w:val="0"/>
        <w:color w:val="000000" w:themeColor="text1"/>
      </w:rPr>
      <w:tblPr/>
      <w:tcPr>
        <w:tcBorders>
          <w:top w:val="nil"/>
          <w:left w:val="nil"/>
          <w:bottom w:val="nil"/>
          <w:right w:val="nil"/>
          <w:insideH w:val="nil"/>
          <w:insideV w:val="nil"/>
        </w:tcBorders>
        <w:shd w:val="clear" w:color="auto" w:fill="EAF1DD" w:themeFill="accent3" w:themeFillTint="33"/>
      </w:tcPr>
    </w:tblStylePr>
    <w:tblStylePr w:type="band1Vert">
      <w:tblPr/>
      <w:tcPr>
        <w:shd w:val="clear" w:color="auto" w:fill="CDDDAC" w:themeFill="accent3" w:themeFillTint="7F"/>
      </w:tcPr>
    </w:tblStylePr>
    <w:tblStylePr w:type="band1Horz">
      <w:tblPr/>
      <w:tcPr>
        <w:tcBorders>
          <w:insideH w:val="single" w:sz="6" w:space="0" w:color="9BBB59" w:themeColor="accent3"/>
          <w:insideV w:val="single" w:sz="6" w:space="0" w:color="9BBB59" w:themeColor="accent3"/>
        </w:tcBorders>
        <w:shd w:val="clear" w:color="auto" w:fill="CDDDAC" w:themeFill="accent3" w:themeFillTint="7F"/>
      </w:tcPr>
    </w:tblStylePr>
    <w:tblStylePr w:type="nwCell">
      <w:tblPr/>
      <w:tcPr>
        <w:shd w:val="clear" w:color="auto" w:fill="FFFFFF" w:themeFill="background1"/>
      </w:tcPr>
    </w:tblStylePr>
  </w:style>
  <w:style w:type="table" w:styleId="MediumGrid2-Accent4">
    <w:name w:val="Medium Grid 2 Accent 4"/>
    <w:basedOn w:val="TableNormal"/>
    <w:uiPriority w:val="68"/>
    <w:semiHidden/>
    <w:unhideWhenUsed/>
    <w:rsid w:val="00167B18"/>
    <w:pPr>
      <w:spacing w:after="0" w:line="240" w:lineRule="auto"/>
    </w:pPr>
    <w:rPr>
      <w:rFonts w:asciiTheme="majorHAnsi" w:eastAsiaTheme="majorEastAsia" w:hAnsiTheme="majorHAnsi" w:cstheme="majorBidi"/>
      <w:color w:val="000000" w:themeColor="text1"/>
    </w:rPr>
    <w:tblPr>
      <w:tblStyleRowBandSize w:val="1"/>
      <w:tblStyleColBandSize w:val="1"/>
      <w:tblBorders>
        <w:top w:val="single" w:sz="8" w:space="0" w:color="8064A2" w:themeColor="accent4"/>
        <w:left w:val="single" w:sz="8" w:space="0" w:color="8064A2" w:themeColor="accent4"/>
        <w:bottom w:val="single" w:sz="8" w:space="0" w:color="8064A2" w:themeColor="accent4"/>
        <w:right w:val="single" w:sz="8" w:space="0" w:color="8064A2" w:themeColor="accent4"/>
        <w:insideH w:val="single" w:sz="8" w:space="0" w:color="8064A2" w:themeColor="accent4"/>
        <w:insideV w:val="single" w:sz="8" w:space="0" w:color="8064A2" w:themeColor="accent4"/>
      </w:tblBorders>
    </w:tblPr>
    <w:tcPr>
      <w:shd w:val="clear" w:color="auto" w:fill="DFD8E8" w:themeFill="accent4" w:themeFillTint="3F"/>
    </w:tcPr>
    <w:tblStylePr w:type="firstRow">
      <w:rPr>
        <w:b/>
        <w:bCs/>
        <w:color w:val="000000" w:themeColor="text1"/>
      </w:rPr>
      <w:tblPr/>
      <w:tcPr>
        <w:shd w:val="clear" w:color="auto" w:fill="F2EFF6" w:themeFill="accent4" w:themeFillTint="19"/>
      </w:tcPr>
    </w:tblStylePr>
    <w:tblStylePr w:type="lastRow">
      <w:rPr>
        <w:b/>
        <w:bCs/>
        <w:color w:val="000000" w:themeColor="text1"/>
      </w:rPr>
      <w:tblPr/>
      <w:tcPr>
        <w:tcBorders>
          <w:top w:val="single" w:sz="12" w:space="0" w:color="000000" w:themeColor="text1"/>
          <w:left w:val="nil"/>
          <w:bottom w:val="nil"/>
          <w:right w:val="nil"/>
          <w:insideH w:val="nil"/>
          <w:insideV w:val="nil"/>
        </w:tcBorders>
        <w:shd w:val="clear" w:color="auto" w:fill="FFFFFF" w:themeFill="background1"/>
      </w:tcPr>
    </w:tblStylePr>
    <w:tblStylePr w:type="firstCol">
      <w:rPr>
        <w:b/>
        <w:bCs/>
        <w:color w:val="000000" w:themeColor="text1"/>
      </w:rPr>
      <w:tblPr/>
      <w:tcPr>
        <w:tcBorders>
          <w:top w:val="nil"/>
          <w:left w:val="nil"/>
          <w:bottom w:val="nil"/>
          <w:right w:val="nil"/>
          <w:insideH w:val="nil"/>
          <w:insideV w:val="nil"/>
        </w:tcBorders>
        <w:shd w:val="clear" w:color="auto" w:fill="FFFFFF" w:themeFill="background1"/>
      </w:tcPr>
    </w:tblStylePr>
    <w:tblStylePr w:type="lastCol">
      <w:rPr>
        <w:b w:val="0"/>
        <w:bCs w:val="0"/>
        <w:color w:val="000000" w:themeColor="text1"/>
      </w:rPr>
      <w:tblPr/>
      <w:tcPr>
        <w:tcBorders>
          <w:top w:val="nil"/>
          <w:left w:val="nil"/>
          <w:bottom w:val="nil"/>
          <w:right w:val="nil"/>
          <w:insideH w:val="nil"/>
          <w:insideV w:val="nil"/>
        </w:tcBorders>
        <w:shd w:val="clear" w:color="auto" w:fill="E5DFEC" w:themeFill="accent4" w:themeFillTint="33"/>
      </w:tcPr>
    </w:tblStylePr>
    <w:tblStylePr w:type="band1Vert">
      <w:tblPr/>
      <w:tcPr>
        <w:shd w:val="clear" w:color="auto" w:fill="BFB1D0" w:themeFill="accent4" w:themeFillTint="7F"/>
      </w:tcPr>
    </w:tblStylePr>
    <w:tblStylePr w:type="band1Horz">
      <w:tblPr/>
      <w:tcPr>
        <w:tcBorders>
          <w:insideH w:val="single" w:sz="6" w:space="0" w:color="8064A2" w:themeColor="accent4"/>
          <w:insideV w:val="single" w:sz="6" w:space="0" w:color="8064A2" w:themeColor="accent4"/>
        </w:tcBorders>
        <w:shd w:val="clear" w:color="auto" w:fill="BFB1D0" w:themeFill="accent4" w:themeFillTint="7F"/>
      </w:tcPr>
    </w:tblStylePr>
    <w:tblStylePr w:type="nwCell">
      <w:tblPr/>
      <w:tcPr>
        <w:shd w:val="clear" w:color="auto" w:fill="FFFFFF" w:themeFill="background1"/>
      </w:tcPr>
    </w:tblStylePr>
  </w:style>
  <w:style w:type="table" w:styleId="MediumGrid2-Accent5">
    <w:name w:val="Medium Grid 2 Accent 5"/>
    <w:basedOn w:val="TableNormal"/>
    <w:uiPriority w:val="68"/>
    <w:semiHidden/>
    <w:unhideWhenUsed/>
    <w:rsid w:val="00167B18"/>
    <w:pPr>
      <w:spacing w:after="0" w:line="240" w:lineRule="auto"/>
    </w:pPr>
    <w:rPr>
      <w:rFonts w:asciiTheme="majorHAnsi" w:eastAsiaTheme="majorEastAsia" w:hAnsiTheme="majorHAnsi" w:cstheme="majorBidi"/>
      <w:color w:val="000000" w:themeColor="text1"/>
    </w:rPr>
    <w:tblPr>
      <w:tblStyleRowBandSize w:val="1"/>
      <w:tblStyleColBandSize w:val="1"/>
      <w:tblBorders>
        <w:top w:val="single" w:sz="8" w:space="0" w:color="4BACC6" w:themeColor="accent5"/>
        <w:left w:val="single" w:sz="8" w:space="0" w:color="4BACC6" w:themeColor="accent5"/>
        <w:bottom w:val="single" w:sz="8" w:space="0" w:color="4BACC6" w:themeColor="accent5"/>
        <w:right w:val="single" w:sz="8" w:space="0" w:color="4BACC6" w:themeColor="accent5"/>
        <w:insideH w:val="single" w:sz="8" w:space="0" w:color="4BACC6" w:themeColor="accent5"/>
        <w:insideV w:val="single" w:sz="8" w:space="0" w:color="4BACC6" w:themeColor="accent5"/>
      </w:tblBorders>
    </w:tblPr>
    <w:tcPr>
      <w:shd w:val="clear" w:color="auto" w:fill="D2EAF1" w:themeFill="accent5" w:themeFillTint="3F"/>
    </w:tcPr>
    <w:tblStylePr w:type="firstRow">
      <w:rPr>
        <w:b/>
        <w:bCs/>
        <w:color w:val="000000" w:themeColor="text1"/>
      </w:rPr>
      <w:tblPr/>
      <w:tcPr>
        <w:shd w:val="clear" w:color="auto" w:fill="EDF6F9" w:themeFill="accent5" w:themeFillTint="19"/>
      </w:tcPr>
    </w:tblStylePr>
    <w:tblStylePr w:type="lastRow">
      <w:rPr>
        <w:b/>
        <w:bCs/>
        <w:color w:val="000000" w:themeColor="text1"/>
      </w:rPr>
      <w:tblPr/>
      <w:tcPr>
        <w:tcBorders>
          <w:top w:val="single" w:sz="12" w:space="0" w:color="000000" w:themeColor="text1"/>
          <w:left w:val="nil"/>
          <w:bottom w:val="nil"/>
          <w:right w:val="nil"/>
          <w:insideH w:val="nil"/>
          <w:insideV w:val="nil"/>
        </w:tcBorders>
        <w:shd w:val="clear" w:color="auto" w:fill="FFFFFF" w:themeFill="background1"/>
      </w:tcPr>
    </w:tblStylePr>
    <w:tblStylePr w:type="firstCol">
      <w:rPr>
        <w:b/>
        <w:bCs/>
        <w:color w:val="000000" w:themeColor="text1"/>
      </w:rPr>
      <w:tblPr/>
      <w:tcPr>
        <w:tcBorders>
          <w:top w:val="nil"/>
          <w:left w:val="nil"/>
          <w:bottom w:val="nil"/>
          <w:right w:val="nil"/>
          <w:insideH w:val="nil"/>
          <w:insideV w:val="nil"/>
        </w:tcBorders>
        <w:shd w:val="clear" w:color="auto" w:fill="FFFFFF" w:themeFill="background1"/>
      </w:tcPr>
    </w:tblStylePr>
    <w:tblStylePr w:type="lastCol">
      <w:rPr>
        <w:b w:val="0"/>
        <w:bCs w:val="0"/>
        <w:color w:val="000000" w:themeColor="text1"/>
      </w:rPr>
      <w:tblPr/>
      <w:tcPr>
        <w:tcBorders>
          <w:top w:val="nil"/>
          <w:left w:val="nil"/>
          <w:bottom w:val="nil"/>
          <w:right w:val="nil"/>
          <w:insideH w:val="nil"/>
          <w:insideV w:val="nil"/>
        </w:tcBorders>
        <w:shd w:val="clear" w:color="auto" w:fill="DAEEF3" w:themeFill="accent5" w:themeFillTint="33"/>
      </w:tcPr>
    </w:tblStylePr>
    <w:tblStylePr w:type="band1Vert">
      <w:tblPr/>
      <w:tcPr>
        <w:shd w:val="clear" w:color="auto" w:fill="A5D5E2" w:themeFill="accent5" w:themeFillTint="7F"/>
      </w:tcPr>
    </w:tblStylePr>
    <w:tblStylePr w:type="band1Horz">
      <w:tblPr/>
      <w:tcPr>
        <w:tcBorders>
          <w:insideH w:val="single" w:sz="6" w:space="0" w:color="4BACC6" w:themeColor="accent5"/>
          <w:insideV w:val="single" w:sz="6" w:space="0" w:color="4BACC6" w:themeColor="accent5"/>
        </w:tcBorders>
        <w:shd w:val="clear" w:color="auto" w:fill="A5D5E2" w:themeFill="accent5" w:themeFillTint="7F"/>
      </w:tcPr>
    </w:tblStylePr>
    <w:tblStylePr w:type="nwCell">
      <w:tblPr/>
      <w:tcPr>
        <w:shd w:val="clear" w:color="auto" w:fill="FFFFFF" w:themeFill="background1"/>
      </w:tcPr>
    </w:tblStylePr>
  </w:style>
  <w:style w:type="table" w:styleId="MediumGrid2-Accent6">
    <w:name w:val="Medium Grid 2 Accent 6"/>
    <w:basedOn w:val="TableNormal"/>
    <w:uiPriority w:val="68"/>
    <w:semiHidden/>
    <w:unhideWhenUsed/>
    <w:rsid w:val="00167B18"/>
    <w:pPr>
      <w:spacing w:after="0" w:line="240" w:lineRule="auto"/>
    </w:pPr>
    <w:rPr>
      <w:rFonts w:asciiTheme="majorHAnsi" w:eastAsiaTheme="majorEastAsia" w:hAnsiTheme="majorHAnsi" w:cstheme="majorBidi"/>
      <w:color w:val="000000" w:themeColor="text1"/>
    </w:rPr>
    <w:tblPr>
      <w:tblStyleRowBandSize w:val="1"/>
      <w:tblStyleColBandSize w:val="1"/>
      <w:tblBorders>
        <w:top w:val="single" w:sz="8" w:space="0" w:color="F79646" w:themeColor="accent6"/>
        <w:left w:val="single" w:sz="8" w:space="0" w:color="F79646" w:themeColor="accent6"/>
        <w:bottom w:val="single" w:sz="8" w:space="0" w:color="F79646" w:themeColor="accent6"/>
        <w:right w:val="single" w:sz="8" w:space="0" w:color="F79646" w:themeColor="accent6"/>
        <w:insideH w:val="single" w:sz="8" w:space="0" w:color="F79646" w:themeColor="accent6"/>
        <w:insideV w:val="single" w:sz="8" w:space="0" w:color="F79646" w:themeColor="accent6"/>
      </w:tblBorders>
    </w:tblPr>
    <w:tcPr>
      <w:shd w:val="clear" w:color="auto" w:fill="FDE4D0" w:themeFill="accent6" w:themeFillTint="3F"/>
    </w:tcPr>
    <w:tblStylePr w:type="firstRow">
      <w:rPr>
        <w:b/>
        <w:bCs/>
        <w:color w:val="000000" w:themeColor="text1"/>
      </w:rPr>
      <w:tblPr/>
      <w:tcPr>
        <w:shd w:val="clear" w:color="auto" w:fill="FEF4EC" w:themeFill="accent6" w:themeFillTint="19"/>
      </w:tcPr>
    </w:tblStylePr>
    <w:tblStylePr w:type="lastRow">
      <w:rPr>
        <w:b/>
        <w:bCs/>
        <w:color w:val="000000" w:themeColor="text1"/>
      </w:rPr>
      <w:tblPr/>
      <w:tcPr>
        <w:tcBorders>
          <w:top w:val="single" w:sz="12" w:space="0" w:color="000000" w:themeColor="text1"/>
          <w:left w:val="nil"/>
          <w:bottom w:val="nil"/>
          <w:right w:val="nil"/>
          <w:insideH w:val="nil"/>
          <w:insideV w:val="nil"/>
        </w:tcBorders>
        <w:shd w:val="clear" w:color="auto" w:fill="FFFFFF" w:themeFill="background1"/>
      </w:tcPr>
    </w:tblStylePr>
    <w:tblStylePr w:type="firstCol">
      <w:rPr>
        <w:b/>
        <w:bCs/>
        <w:color w:val="000000" w:themeColor="text1"/>
      </w:rPr>
      <w:tblPr/>
      <w:tcPr>
        <w:tcBorders>
          <w:top w:val="nil"/>
          <w:left w:val="nil"/>
          <w:bottom w:val="nil"/>
          <w:right w:val="nil"/>
          <w:insideH w:val="nil"/>
          <w:insideV w:val="nil"/>
        </w:tcBorders>
        <w:shd w:val="clear" w:color="auto" w:fill="FFFFFF" w:themeFill="background1"/>
      </w:tcPr>
    </w:tblStylePr>
    <w:tblStylePr w:type="lastCol">
      <w:rPr>
        <w:b w:val="0"/>
        <w:bCs w:val="0"/>
        <w:color w:val="000000" w:themeColor="text1"/>
      </w:rPr>
      <w:tblPr/>
      <w:tcPr>
        <w:tcBorders>
          <w:top w:val="nil"/>
          <w:left w:val="nil"/>
          <w:bottom w:val="nil"/>
          <w:right w:val="nil"/>
          <w:insideH w:val="nil"/>
          <w:insideV w:val="nil"/>
        </w:tcBorders>
        <w:shd w:val="clear" w:color="auto" w:fill="FDE9D9" w:themeFill="accent6" w:themeFillTint="33"/>
      </w:tcPr>
    </w:tblStylePr>
    <w:tblStylePr w:type="band1Vert">
      <w:tblPr/>
      <w:tcPr>
        <w:shd w:val="clear" w:color="auto" w:fill="FBCAA2" w:themeFill="accent6" w:themeFillTint="7F"/>
      </w:tcPr>
    </w:tblStylePr>
    <w:tblStylePr w:type="band1Horz">
      <w:tblPr/>
      <w:tcPr>
        <w:tcBorders>
          <w:insideH w:val="single" w:sz="6" w:space="0" w:color="F79646" w:themeColor="accent6"/>
          <w:insideV w:val="single" w:sz="6" w:space="0" w:color="F79646" w:themeColor="accent6"/>
        </w:tcBorders>
        <w:shd w:val="clear" w:color="auto" w:fill="FBCAA2" w:themeFill="accent6" w:themeFillTint="7F"/>
      </w:tcPr>
    </w:tblStylePr>
    <w:tblStylePr w:type="nwCell">
      <w:tblPr/>
      <w:tcPr>
        <w:shd w:val="clear" w:color="auto" w:fill="FFFFFF" w:themeFill="background1"/>
      </w:tcPr>
    </w:tblStylePr>
  </w:style>
  <w:style w:type="table" w:styleId="MediumGrid3">
    <w:name w:val="Medium Grid 3"/>
    <w:basedOn w:val="TableNormal"/>
    <w:uiPriority w:val="69"/>
    <w:semiHidden/>
    <w:unhideWhenUsed/>
    <w:rsid w:val="00167B18"/>
    <w:pPr>
      <w:spacing w:after="0" w:line="240" w:lineRule="auto"/>
    </w:pPr>
    <w:tblPr>
      <w:tblStyleRowBandSize w:val="1"/>
      <w:tblStyleColBandSize w:val="1"/>
      <w:tbl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6" w:space="0" w:color="FFFFFF" w:themeColor="background1"/>
        <w:insideV w:val="single" w:sz="6" w:space="0" w:color="FFFFFF" w:themeColor="background1"/>
      </w:tblBorders>
    </w:tblPr>
    <w:tcPr>
      <w:shd w:val="clear" w:color="auto" w:fill="C0C0C0" w:themeFill="text1" w:themeFillTint="3F"/>
    </w:tcPr>
    <w:tblStylePr w:type="firstRow">
      <w:rPr>
        <w:b/>
        <w:bCs/>
        <w:i w:val="0"/>
        <w:iCs w:val="0"/>
        <w:color w:val="FFFFFF" w:themeColor="background1"/>
      </w:rPr>
      <w:tblPr/>
      <w:tcPr>
        <w:tcBorders>
          <w:top w:val="single" w:sz="8" w:space="0" w:color="FFFFFF" w:themeColor="background1"/>
          <w:left w:val="single" w:sz="8" w:space="0" w:color="FFFFFF" w:themeColor="background1"/>
          <w:bottom w:val="single" w:sz="24" w:space="0" w:color="FFFFFF" w:themeColor="background1"/>
          <w:right w:val="single" w:sz="8" w:space="0" w:color="FFFFFF" w:themeColor="background1"/>
          <w:insideH w:val="nil"/>
          <w:insideV w:val="single" w:sz="8" w:space="0" w:color="FFFFFF" w:themeColor="background1"/>
        </w:tcBorders>
        <w:shd w:val="clear" w:color="auto" w:fill="000000" w:themeFill="text1"/>
      </w:tcPr>
    </w:tblStylePr>
    <w:tblStylePr w:type="lastRow">
      <w:rPr>
        <w:b/>
        <w:bCs/>
        <w:i w:val="0"/>
        <w:iCs w:val="0"/>
        <w:color w:val="FFFFFF" w:themeColor="background1"/>
      </w:rPr>
      <w:tblPr/>
      <w:tcPr>
        <w:tcBorders>
          <w:top w:val="single" w:sz="24" w:space="0" w:color="FFFFFF" w:themeColor="background1"/>
          <w:left w:val="single" w:sz="8" w:space="0" w:color="FFFFFF" w:themeColor="background1"/>
          <w:bottom w:val="single" w:sz="8" w:space="0" w:color="FFFFFF" w:themeColor="background1"/>
          <w:right w:val="single" w:sz="8" w:space="0" w:color="FFFFFF" w:themeColor="background1"/>
          <w:insideH w:val="nil"/>
          <w:insideV w:val="single" w:sz="8" w:space="0" w:color="FFFFFF" w:themeColor="background1"/>
        </w:tcBorders>
        <w:shd w:val="clear" w:color="auto" w:fill="000000" w:themeFill="text1"/>
      </w:tcPr>
    </w:tblStylePr>
    <w:tblStylePr w:type="firstCol">
      <w:rPr>
        <w:b/>
        <w:bCs/>
        <w:i w:val="0"/>
        <w:iCs w:val="0"/>
        <w:color w:val="FFFFFF" w:themeColor="background1"/>
      </w:rPr>
      <w:tblPr/>
      <w:tcPr>
        <w:tcBorders>
          <w:left w:val="single" w:sz="8" w:space="0" w:color="FFFFFF" w:themeColor="background1"/>
          <w:right w:val="single" w:sz="24" w:space="0" w:color="FFFFFF" w:themeColor="background1"/>
          <w:insideH w:val="nil"/>
          <w:insideV w:val="nil"/>
        </w:tcBorders>
        <w:shd w:val="clear" w:color="auto" w:fill="000000" w:themeFill="text1"/>
      </w:tcPr>
    </w:tblStylePr>
    <w:tblStylePr w:type="lastCol">
      <w:rPr>
        <w:b/>
        <w:bCs/>
        <w:i w:val="0"/>
        <w:iCs w:val="0"/>
        <w:color w:val="FFFFFF" w:themeColor="background1"/>
      </w:rPr>
      <w:tblPr/>
      <w:tcPr>
        <w:tcBorders>
          <w:top w:val="nil"/>
          <w:left w:val="single" w:sz="24" w:space="0" w:color="FFFFFF" w:themeColor="background1"/>
          <w:bottom w:val="nil"/>
          <w:right w:val="nil"/>
          <w:insideH w:val="nil"/>
          <w:insideV w:val="nil"/>
        </w:tcBorders>
        <w:shd w:val="clear" w:color="auto" w:fill="000000" w:themeFill="text1"/>
      </w:tcPr>
    </w:tblStylePr>
    <w:tblStylePr w:type="band1Vert">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nil"/>
          <w:insideV w:val="nil"/>
        </w:tcBorders>
        <w:shd w:val="clear" w:color="auto" w:fill="808080" w:themeFill="text1" w:themeFillTint="7F"/>
      </w:tcPr>
    </w:tblStylePr>
    <w:tblStylePr w:type="band1Horz">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8" w:space="0" w:color="FFFFFF" w:themeColor="background1"/>
          <w:insideV w:val="single" w:sz="8" w:space="0" w:color="FFFFFF" w:themeColor="background1"/>
        </w:tcBorders>
        <w:shd w:val="clear" w:color="auto" w:fill="808080" w:themeFill="text1" w:themeFillTint="7F"/>
      </w:tcPr>
    </w:tblStylePr>
  </w:style>
  <w:style w:type="table" w:styleId="MediumGrid3-Accent1">
    <w:name w:val="Medium Grid 3 Accent 1"/>
    <w:basedOn w:val="TableNormal"/>
    <w:uiPriority w:val="69"/>
    <w:semiHidden/>
    <w:unhideWhenUsed/>
    <w:rsid w:val="00167B18"/>
    <w:pPr>
      <w:spacing w:after="0" w:line="240" w:lineRule="auto"/>
    </w:pPr>
    <w:tblPr>
      <w:tblStyleRowBandSize w:val="1"/>
      <w:tblStyleColBandSize w:val="1"/>
      <w:tbl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6" w:space="0" w:color="FFFFFF" w:themeColor="background1"/>
        <w:insideV w:val="single" w:sz="6" w:space="0" w:color="FFFFFF" w:themeColor="background1"/>
      </w:tblBorders>
    </w:tblPr>
    <w:tcPr>
      <w:shd w:val="clear" w:color="auto" w:fill="D3DFEE" w:themeFill="accent1" w:themeFillTint="3F"/>
    </w:tcPr>
    <w:tblStylePr w:type="firstRow">
      <w:rPr>
        <w:b/>
        <w:bCs/>
        <w:i w:val="0"/>
        <w:iCs w:val="0"/>
        <w:color w:val="FFFFFF" w:themeColor="background1"/>
      </w:rPr>
      <w:tblPr/>
      <w:tcPr>
        <w:tcBorders>
          <w:top w:val="single" w:sz="8" w:space="0" w:color="FFFFFF" w:themeColor="background1"/>
          <w:left w:val="single" w:sz="8" w:space="0" w:color="FFFFFF" w:themeColor="background1"/>
          <w:bottom w:val="single" w:sz="24" w:space="0" w:color="FFFFFF" w:themeColor="background1"/>
          <w:right w:val="single" w:sz="8" w:space="0" w:color="FFFFFF" w:themeColor="background1"/>
          <w:insideH w:val="nil"/>
          <w:insideV w:val="single" w:sz="8" w:space="0" w:color="FFFFFF" w:themeColor="background1"/>
        </w:tcBorders>
        <w:shd w:val="clear" w:color="auto" w:fill="4F81BD" w:themeFill="accent1"/>
      </w:tcPr>
    </w:tblStylePr>
    <w:tblStylePr w:type="lastRow">
      <w:rPr>
        <w:b/>
        <w:bCs/>
        <w:i w:val="0"/>
        <w:iCs w:val="0"/>
        <w:color w:val="FFFFFF" w:themeColor="background1"/>
      </w:rPr>
      <w:tblPr/>
      <w:tcPr>
        <w:tcBorders>
          <w:top w:val="single" w:sz="24" w:space="0" w:color="FFFFFF" w:themeColor="background1"/>
          <w:left w:val="single" w:sz="8" w:space="0" w:color="FFFFFF" w:themeColor="background1"/>
          <w:bottom w:val="single" w:sz="8" w:space="0" w:color="FFFFFF" w:themeColor="background1"/>
          <w:right w:val="single" w:sz="8" w:space="0" w:color="FFFFFF" w:themeColor="background1"/>
          <w:insideH w:val="nil"/>
          <w:insideV w:val="single" w:sz="8" w:space="0" w:color="FFFFFF" w:themeColor="background1"/>
        </w:tcBorders>
        <w:shd w:val="clear" w:color="auto" w:fill="4F81BD" w:themeFill="accent1"/>
      </w:tcPr>
    </w:tblStylePr>
    <w:tblStylePr w:type="firstCol">
      <w:rPr>
        <w:b/>
        <w:bCs/>
        <w:i w:val="0"/>
        <w:iCs w:val="0"/>
        <w:color w:val="FFFFFF" w:themeColor="background1"/>
      </w:rPr>
      <w:tblPr/>
      <w:tcPr>
        <w:tcBorders>
          <w:left w:val="single" w:sz="8" w:space="0" w:color="FFFFFF" w:themeColor="background1"/>
          <w:right w:val="single" w:sz="24" w:space="0" w:color="FFFFFF" w:themeColor="background1"/>
          <w:insideH w:val="nil"/>
          <w:insideV w:val="nil"/>
        </w:tcBorders>
        <w:shd w:val="clear" w:color="auto" w:fill="4F81BD" w:themeFill="accent1"/>
      </w:tcPr>
    </w:tblStylePr>
    <w:tblStylePr w:type="lastCol">
      <w:rPr>
        <w:b/>
        <w:bCs/>
        <w:i w:val="0"/>
        <w:iCs w:val="0"/>
        <w:color w:val="FFFFFF" w:themeColor="background1"/>
      </w:rPr>
      <w:tblPr/>
      <w:tcPr>
        <w:tcBorders>
          <w:top w:val="nil"/>
          <w:left w:val="single" w:sz="24" w:space="0" w:color="FFFFFF" w:themeColor="background1"/>
          <w:bottom w:val="nil"/>
          <w:right w:val="nil"/>
          <w:insideH w:val="nil"/>
          <w:insideV w:val="nil"/>
        </w:tcBorders>
        <w:shd w:val="clear" w:color="auto" w:fill="4F81BD" w:themeFill="accent1"/>
      </w:tcPr>
    </w:tblStylePr>
    <w:tblStylePr w:type="band1Vert">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nil"/>
          <w:insideV w:val="nil"/>
        </w:tcBorders>
        <w:shd w:val="clear" w:color="auto" w:fill="A7BFDE" w:themeFill="accent1" w:themeFillTint="7F"/>
      </w:tcPr>
    </w:tblStylePr>
    <w:tblStylePr w:type="band1Horz">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8" w:space="0" w:color="FFFFFF" w:themeColor="background1"/>
          <w:insideV w:val="single" w:sz="8" w:space="0" w:color="FFFFFF" w:themeColor="background1"/>
        </w:tcBorders>
        <w:shd w:val="clear" w:color="auto" w:fill="A7BFDE" w:themeFill="accent1" w:themeFillTint="7F"/>
      </w:tcPr>
    </w:tblStylePr>
  </w:style>
  <w:style w:type="table" w:styleId="MediumGrid3-Accent2">
    <w:name w:val="Medium Grid 3 Accent 2"/>
    <w:basedOn w:val="TableNormal"/>
    <w:uiPriority w:val="69"/>
    <w:semiHidden/>
    <w:unhideWhenUsed/>
    <w:rsid w:val="00167B18"/>
    <w:pPr>
      <w:spacing w:after="0" w:line="240" w:lineRule="auto"/>
    </w:pPr>
    <w:tblPr>
      <w:tblStyleRowBandSize w:val="1"/>
      <w:tblStyleColBandSize w:val="1"/>
      <w:tbl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6" w:space="0" w:color="FFFFFF" w:themeColor="background1"/>
        <w:insideV w:val="single" w:sz="6" w:space="0" w:color="FFFFFF" w:themeColor="background1"/>
      </w:tblBorders>
    </w:tblPr>
    <w:tcPr>
      <w:shd w:val="clear" w:color="auto" w:fill="EFD3D2" w:themeFill="accent2" w:themeFillTint="3F"/>
    </w:tcPr>
    <w:tblStylePr w:type="firstRow">
      <w:rPr>
        <w:b/>
        <w:bCs/>
        <w:i w:val="0"/>
        <w:iCs w:val="0"/>
        <w:color w:val="FFFFFF" w:themeColor="background1"/>
      </w:rPr>
      <w:tblPr/>
      <w:tcPr>
        <w:tcBorders>
          <w:top w:val="single" w:sz="8" w:space="0" w:color="FFFFFF" w:themeColor="background1"/>
          <w:left w:val="single" w:sz="8" w:space="0" w:color="FFFFFF" w:themeColor="background1"/>
          <w:bottom w:val="single" w:sz="24" w:space="0" w:color="FFFFFF" w:themeColor="background1"/>
          <w:right w:val="single" w:sz="8" w:space="0" w:color="FFFFFF" w:themeColor="background1"/>
          <w:insideH w:val="nil"/>
          <w:insideV w:val="single" w:sz="8" w:space="0" w:color="FFFFFF" w:themeColor="background1"/>
        </w:tcBorders>
        <w:shd w:val="clear" w:color="auto" w:fill="C0504D" w:themeFill="accent2"/>
      </w:tcPr>
    </w:tblStylePr>
    <w:tblStylePr w:type="lastRow">
      <w:rPr>
        <w:b/>
        <w:bCs/>
        <w:i w:val="0"/>
        <w:iCs w:val="0"/>
        <w:color w:val="FFFFFF" w:themeColor="background1"/>
      </w:rPr>
      <w:tblPr/>
      <w:tcPr>
        <w:tcBorders>
          <w:top w:val="single" w:sz="24" w:space="0" w:color="FFFFFF" w:themeColor="background1"/>
          <w:left w:val="single" w:sz="8" w:space="0" w:color="FFFFFF" w:themeColor="background1"/>
          <w:bottom w:val="single" w:sz="8" w:space="0" w:color="FFFFFF" w:themeColor="background1"/>
          <w:right w:val="single" w:sz="8" w:space="0" w:color="FFFFFF" w:themeColor="background1"/>
          <w:insideH w:val="nil"/>
          <w:insideV w:val="single" w:sz="8" w:space="0" w:color="FFFFFF" w:themeColor="background1"/>
        </w:tcBorders>
        <w:shd w:val="clear" w:color="auto" w:fill="C0504D" w:themeFill="accent2"/>
      </w:tcPr>
    </w:tblStylePr>
    <w:tblStylePr w:type="firstCol">
      <w:rPr>
        <w:b/>
        <w:bCs/>
        <w:i w:val="0"/>
        <w:iCs w:val="0"/>
        <w:color w:val="FFFFFF" w:themeColor="background1"/>
      </w:rPr>
      <w:tblPr/>
      <w:tcPr>
        <w:tcBorders>
          <w:left w:val="single" w:sz="8" w:space="0" w:color="FFFFFF" w:themeColor="background1"/>
          <w:right w:val="single" w:sz="24" w:space="0" w:color="FFFFFF" w:themeColor="background1"/>
          <w:insideH w:val="nil"/>
          <w:insideV w:val="nil"/>
        </w:tcBorders>
        <w:shd w:val="clear" w:color="auto" w:fill="C0504D" w:themeFill="accent2"/>
      </w:tcPr>
    </w:tblStylePr>
    <w:tblStylePr w:type="lastCol">
      <w:rPr>
        <w:b/>
        <w:bCs/>
        <w:i w:val="0"/>
        <w:iCs w:val="0"/>
        <w:color w:val="FFFFFF" w:themeColor="background1"/>
      </w:rPr>
      <w:tblPr/>
      <w:tcPr>
        <w:tcBorders>
          <w:top w:val="nil"/>
          <w:left w:val="single" w:sz="24" w:space="0" w:color="FFFFFF" w:themeColor="background1"/>
          <w:bottom w:val="nil"/>
          <w:right w:val="nil"/>
          <w:insideH w:val="nil"/>
          <w:insideV w:val="nil"/>
        </w:tcBorders>
        <w:shd w:val="clear" w:color="auto" w:fill="C0504D" w:themeFill="accent2"/>
      </w:tcPr>
    </w:tblStylePr>
    <w:tblStylePr w:type="band1Vert">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nil"/>
          <w:insideV w:val="nil"/>
        </w:tcBorders>
        <w:shd w:val="clear" w:color="auto" w:fill="DFA7A6" w:themeFill="accent2" w:themeFillTint="7F"/>
      </w:tcPr>
    </w:tblStylePr>
    <w:tblStylePr w:type="band1Horz">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8" w:space="0" w:color="FFFFFF" w:themeColor="background1"/>
          <w:insideV w:val="single" w:sz="8" w:space="0" w:color="FFFFFF" w:themeColor="background1"/>
        </w:tcBorders>
        <w:shd w:val="clear" w:color="auto" w:fill="DFA7A6" w:themeFill="accent2" w:themeFillTint="7F"/>
      </w:tcPr>
    </w:tblStylePr>
  </w:style>
  <w:style w:type="table" w:styleId="MediumGrid3-Accent3">
    <w:name w:val="Medium Grid 3 Accent 3"/>
    <w:basedOn w:val="TableNormal"/>
    <w:uiPriority w:val="69"/>
    <w:semiHidden/>
    <w:unhideWhenUsed/>
    <w:rsid w:val="00167B18"/>
    <w:pPr>
      <w:spacing w:after="0" w:line="240" w:lineRule="auto"/>
    </w:pPr>
    <w:tblPr>
      <w:tblStyleRowBandSize w:val="1"/>
      <w:tblStyleColBandSize w:val="1"/>
      <w:tbl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6" w:space="0" w:color="FFFFFF" w:themeColor="background1"/>
        <w:insideV w:val="single" w:sz="6" w:space="0" w:color="FFFFFF" w:themeColor="background1"/>
      </w:tblBorders>
    </w:tblPr>
    <w:tcPr>
      <w:shd w:val="clear" w:color="auto" w:fill="E6EED5" w:themeFill="accent3" w:themeFillTint="3F"/>
    </w:tcPr>
    <w:tblStylePr w:type="firstRow">
      <w:rPr>
        <w:b/>
        <w:bCs/>
        <w:i w:val="0"/>
        <w:iCs w:val="0"/>
        <w:color w:val="FFFFFF" w:themeColor="background1"/>
      </w:rPr>
      <w:tblPr/>
      <w:tcPr>
        <w:tcBorders>
          <w:top w:val="single" w:sz="8" w:space="0" w:color="FFFFFF" w:themeColor="background1"/>
          <w:left w:val="single" w:sz="8" w:space="0" w:color="FFFFFF" w:themeColor="background1"/>
          <w:bottom w:val="single" w:sz="24" w:space="0" w:color="FFFFFF" w:themeColor="background1"/>
          <w:right w:val="single" w:sz="8" w:space="0" w:color="FFFFFF" w:themeColor="background1"/>
          <w:insideH w:val="nil"/>
          <w:insideV w:val="single" w:sz="8" w:space="0" w:color="FFFFFF" w:themeColor="background1"/>
        </w:tcBorders>
        <w:shd w:val="clear" w:color="auto" w:fill="9BBB59" w:themeFill="accent3"/>
      </w:tcPr>
    </w:tblStylePr>
    <w:tblStylePr w:type="lastRow">
      <w:rPr>
        <w:b/>
        <w:bCs/>
        <w:i w:val="0"/>
        <w:iCs w:val="0"/>
        <w:color w:val="FFFFFF" w:themeColor="background1"/>
      </w:rPr>
      <w:tblPr/>
      <w:tcPr>
        <w:tcBorders>
          <w:top w:val="single" w:sz="24" w:space="0" w:color="FFFFFF" w:themeColor="background1"/>
          <w:left w:val="single" w:sz="8" w:space="0" w:color="FFFFFF" w:themeColor="background1"/>
          <w:bottom w:val="single" w:sz="8" w:space="0" w:color="FFFFFF" w:themeColor="background1"/>
          <w:right w:val="single" w:sz="8" w:space="0" w:color="FFFFFF" w:themeColor="background1"/>
          <w:insideH w:val="nil"/>
          <w:insideV w:val="single" w:sz="8" w:space="0" w:color="FFFFFF" w:themeColor="background1"/>
        </w:tcBorders>
        <w:shd w:val="clear" w:color="auto" w:fill="9BBB59" w:themeFill="accent3"/>
      </w:tcPr>
    </w:tblStylePr>
    <w:tblStylePr w:type="firstCol">
      <w:rPr>
        <w:b/>
        <w:bCs/>
        <w:i w:val="0"/>
        <w:iCs w:val="0"/>
        <w:color w:val="FFFFFF" w:themeColor="background1"/>
      </w:rPr>
      <w:tblPr/>
      <w:tcPr>
        <w:tcBorders>
          <w:left w:val="single" w:sz="8" w:space="0" w:color="FFFFFF" w:themeColor="background1"/>
          <w:right w:val="single" w:sz="24" w:space="0" w:color="FFFFFF" w:themeColor="background1"/>
          <w:insideH w:val="nil"/>
          <w:insideV w:val="nil"/>
        </w:tcBorders>
        <w:shd w:val="clear" w:color="auto" w:fill="9BBB59" w:themeFill="accent3"/>
      </w:tcPr>
    </w:tblStylePr>
    <w:tblStylePr w:type="lastCol">
      <w:rPr>
        <w:b/>
        <w:bCs/>
        <w:i w:val="0"/>
        <w:iCs w:val="0"/>
        <w:color w:val="FFFFFF" w:themeColor="background1"/>
      </w:rPr>
      <w:tblPr/>
      <w:tcPr>
        <w:tcBorders>
          <w:top w:val="nil"/>
          <w:left w:val="single" w:sz="24" w:space="0" w:color="FFFFFF" w:themeColor="background1"/>
          <w:bottom w:val="nil"/>
          <w:right w:val="nil"/>
          <w:insideH w:val="nil"/>
          <w:insideV w:val="nil"/>
        </w:tcBorders>
        <w:shd w:val="clear" w:color="auto" w:fill="9BBB59" w:themeFill="accent3"/>
      </w:tcPr>
    </w:tblStylePr>
    <w:tblStylePr w:type="band1Vert">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nil"/>
          <w:insideV w:val="nil"/>
        </w:tcBorders>
        <w:shd w:val="clear" w:color="auto" w:fill="CDDDAC" w:themeFill="accent3" w:themeFillTint="7F"/>
      </w:tcPr>
    </w:tblStylePr>
    <w:tblStylePr w:type="band1Horz">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8" w:space="0" w:color="FFFFFF" w:themeColor="background1"/>
          <w:insideV w:val="single" w:sz="8" w:space="0" w:color="FFFFFF" w:themeColor="background1"/>
        </w:tcBorders>
        <w:shd w:val="clear" w:color="auto" w:fill="CDDDAC" w:themeFill="accent3" w:themeFillTint="7F"/>
      </w:tcPr>
    </w:tblStylePr>
  </w:style>
  <w:style w:type="table" w:styleId="MediumGrid3-Accent4">
    <w:name w:val="Medium Grid 3 Accent 4"/>
    <w:basedOn w:val="TableNormal"/>
    <w:uiPriority w:val="69"/>
    <w:semiHidden/>
    <w:unhideWhenUsed/>
    <w:rsid w:val="00167B18"/>
    <w:pPr>
      <w:spacing w:after="0" w:line="240" w:lineRule="auto"/>
    </w:pPr>
    <w:tblPr>
      <w:tblStyleRowBandSize w:val="1"/>
      <w:tblStyleColBandSize w:val="1"/>
      <w:tbl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6" w:space="0" w:color="FFFFFF" w:themeColor="background1"/>
        <w:insideV w:val="single" w:sz="6" w:space="0" w:color="FFFFFF" w:themeColor="background1"/>
      </w:tblBorders>
    </w:tblPr>
    <w:tcPr>
      <w:shd w:val="clear" w:color="auto" w:fill="DFD8E8" w:themeFill="accent4" w:themeFillTint="3F"/>
    </w:tcPr>
    <w:tblStylePr w:type="firstRow">
      <w:rPr>
        <w:b/>
        <w:bCs/>
        <w:i w:val="0"/>
        <w:iCs w:val="0"/>
        <w:color w:val="FFFFFF" w:themeColor="background1"/>
      </w:rPr>
      <w:tblPr/>
      <w:tcPr>
        <w:tcBorders>
          <w:top w:val="single" w:sz="8" w:space="0" w:color="FFFFFF" w:themeColor="background1"/>
          <w:left w:val="single" w:sz="8" w:space="0" w:color="FFFFFF" w:themeColor="background1"/>
          <w:bottom w:val="single" w:sz="24" w:space="0" w:color="FFFFFF" w:themeColor="background1"/>
          <w:right w:val="single" w:sz="8" w:space="0" w:color="FFFFFF" w:themeColor="background1"/>
          <w:insideH w:val="nil"/>
          <w:insideV w:val="single" w:sz="8" w:space="0" w:color="FFFFFF" w:themeColor="background1"/>
        </w:tcBorders>
        <w:shd w:val="clear" w:color="auto" w:fill="8064A2" w:themeFill="accent4"/>
      </w:tcPr>
    </w:tblStylePr>
    <w:tblStylePr w:type="lastRow">
      <w:rPr>
        <w:b/>
        <w:bCs/>
        <w:i w:val="0"/>
        <w:iCs w:val="0"/>
        <w:color w:val="FFFFFF" w:themeColor="background1"/>
      </w:rPr>
      <w:tblPr/>
      <w:tcPr>
        <w:tcBorders>
          <w:top w:val="single" w:sz="24" w:space="0" w:color="FFFFFF" w:themeColor="background1"/>
          <w:left w:val="single" w:sz="8" w:space="0" w:color="FFFFFF" w:themeColor="background1"/>
          <w:bottom w:val="single" w:sz="8" w:space="0" w:color="FFFFFF" w:themeColor="background1"/>
          <w:right w:val="single" w:sz="8" w:space="0" w:color="FFFFFF" w:themeColor="background1"/>
          <w:insideH w:val="nil"/>
          <w:insideV w:val="single" w:sz="8" w:space="0" w:color="FFFFFF" w:themeColor="background1"/>
        </w:tcBorders>
        <w:shd w:val="clear" w:color="auto" w:fill="8064A2" w:themeFill="accent4"/>
      </w:tcPr>
    </w:tblStylePr>
    <w:tblStylePr w:type="firstCol">
      <w:rPr>
        <w:b/>
        <w:bCs/>
        <w:i w:val="0"/>
        <w:iCs w:val="0"/>
        <w:color w:val="FFFFFF" w:themeColor="background1"/>
      </w:rPr>
      <w:tblPr/>
      <w:tcPr>
        <w:tcBorders>
          <w:left w:val="single" w:sz="8" w:space="0" w:color="FFFFFF" w:themeColor="background1"/>
          <w:right w:val="single" w:sz="24" w:space="0" w:color="FFFFFF" w:themeColor="background1"/>
          <w:insideH w:val="nil"/>
          <w:insideV w:val="nil"/>
        </w:tcBorders>
        <w:shd w:val="clear" w:color="auto" w:fill="8064A2" w:themeFill="accent4"/>
      </w:tcPr>
    </w:tblStylePr>
    <w:tblStylePr w:type="lastCol">
      <w:rPr>
        <w:b/>
        <w:bCs/>
        <w:i w:val="0"/>
        <w:iCs w:val="0"/>
        <w:color w:val="FFFFFF" w:themeColor="background1"/>
      </w:rPr>
      <w:tblPr/>
      <w:tcPr>
        <w:tcBorders>
          <w:top w:val="nil"/>
          <w:left w:val="single" w:sz="24" w:space="0" w:color="FFFFFF" w:themeColor="background1"/>
          <w:bottom w:val="nil"/>
          <w:right w:val="nil"/>
          <w:insideH w:val="nil"/>
          <w:insideV w:val="nil"/>
        </w:tcBorders>
        <w:shd w:val="clear" w:color="auto" w:fill="8064A2" w:themeFill="accent4"/>
      </w:tcPr>
    </w:tblStylePr>
    <w:tblStylePr w:type="band1Vert">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nil"/>
          <w:insideV w:val="nil"/>
        </w:tcBorders>
        <w:shd w:val="clear" w:color="auto" w:fill="BFB1D0" w:themeFill="accent4" w:themeFillTint="7F"/>
      </w:tcPr>
    </w:tblStylePr>
    <w:tblStylePr w:type="band1Horz">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8" w:space="0" w:color="FFFFFF" w:themeColor="background1"/>
          <w:insideV w:val="single" w:sz="8" w:space="0" w:color="FFFFFF" w:themeColor="background1"/>
        </w:tcBorders>
        <w:shd w:val="clear" w:color="auto" w:fill="BFB1D0" w:themeFill="accent4" w:themeFillTint="7F"/>
      </w:tcPr>
    </w:tblStylePr>
  </w:style>
  <w:style w:type="table" w:styleId="MediumGrid3-Accent5">
    <w:name w:val="Medium Grid 3 Accent 5"/>
    <w:basedOn w:val="TableNormal"/>
    <w:uiPriority w:val="69"/>
    <w:semiHidden/>
    <w:unhideWhenUsed/>
    <w:rsid w:val="00167B18"/>
    <w:pPr>
      <w:spacing w:after="0" w:line="240" w:lineRule="auto"/>
    </w:pPr>
    <w:tblPr>
      <w:tblStyleRowBandSize w:val="1"/>
      <w:tblStyleColBandSize w:val="1"/>
      <w:tbl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6" w:space="0" w:color="FFFFFF" w:themeColor="background1"/>
        <w:insideV w:val="single" w:sz="6" w:space="0" w:color="FFFFFF" w:themeColor="background1"/>
      </w:tblBorders>
    </w:tblPr>
    <w:tcPr>
      <w:shd w:val="clear" w:color="auto" w:fill="D2EAF1" w:themeFill="accent5" w:themeFillTint="3F"/>
    </w:tcPr>
    <w:tblStylePr w:type="firstRow">
      <w:rPr>
        <w:b/>
        <w:bCs/>
        <w:i w:val="0"/>
        <w:iCs w:val="0"/>
        <w:color w:val="FFFFFF" w:themeColor="background1"/>
      </w:rPr>
      <w:tblPr/>
      <w:tcPr>
        <w:tcBorders>
          <w:top w:val="single" w:sz="8" w:space="0" w:color="FFFFFF" w:themeColor="background1"/>
          <w:left w:val="single" w:sz="8" w:space="0" w:color="FFFFFF" w:themeColor="background1"/>
          <w:bottom w:val="single" w:sz="24" w:space="0" w:color="FFFFFF" w:themeColor="background1"/>
          <w:right w:val="single" w:sz="8" w:space="0" w:color="FFFFFF" w:themeColor="background1"/>
          <w:insideH w:val="nil"/>
          <w:insideV w:val="single" w:sz="8" w:space="0" w:color="FFFFFF" w:themeColor="background1"/>
        </w:tcBorders>
        <w:shd w:val="clear" w:color="auto" w:fill="4BACC6" w:themeFill="accent5"/>
      </w:tcPr>
    </w:tblStylePr>
    <w:tblStylePr w:type="lastRow">
      <w:rPr>
        <w:b/>
        <w:bCs/>
        <w:i w:val="0"/>
        <w:iCs w:val="0"/>
        <w:color w:val="FFFFFF" w:themeColor="background1"/>
      </w:rPr>
      <w:tblPr/>
      <w:tcPr>
        <w:tcBorders>
          <w:top w:val="single" w:sz="24" w:space="0" w:color="FFFFFF" w:themeColor="background1"/>
          <w:left w:val="single" w:sz="8" w:space="0" w:color="FFFFFF" w:themeColor="background1"/>
          <w:bottom w:val="single" w:sz="8" w:space="0" w:color="FFFFFF" w:themeColor="background1"/>
          <w:right w:val="single" w:sz="8" w:space="0" w:color="FFFFFF" w:themeColor="background1"/>
          <w:insideH w:val="nil"/>
          <w:insideV w:val="single" w:sz="8" w:space="0" w:color="FFFFFF" w:themeColor="background1"/>
        </w:tcBorders>
        <w:shd w:val="clear" w:color="auto" w:fill="4BACC6" w:themeFill="accent5"/>
      </w:tcPr>
    </w:tblStylePr>
    <w:tblStylePr w:type="firstCol">
      <w:rPr>
        <w:b/>
        <w:bCs/>
        <w:i w:val="0"/>
        <w:iCs w:val="0"/>
        <w:color w:val="FFFFFF" w:themeColor="background1"/>
      </w:rPr>
      <w:tblPr/>
      <w:tcPr>
        <w:tcBorders>
          <w:left w:val="single" w:sz="8" w:space="0" w:color="FFFFFF" w:themeColor="background1"/>
          <w:right w:val="single" w:sz="24" w:space="0" w:color="FFFFFF" w:themeColor="background1"/>
          <w:insideH w:val="nil"/>
          <w:insideV w:val="nil"/>
        </w:tcBorders>
        <w:shd w:val="clear" w:color="auto" w:fill="4BACC6" w:themeFill="accent5"/>
      </w:tcPr>
    </w:tblStylePr>
    <w:tblStylePr w:type="lastCol">
      <w:rPr>
        <w:b/>
        <w:bCs/>
        <w:i w:val="0"/>
        <w:iCs w:val="0"/>
        <w:color w:val="FFFFFF" w:themeColor="background1"/>
      </w:rPr>
      <w:tblPr/>
      <w:tcPr>
        <w:tcBorders>
          <w:top w:val="nil"/>
          <w:left w:val="single" w:sz="24" w:space="0" w:color="FFFFFF" w:themeColor="background1"/>
          <w:bottom w:val="nil"/>
          <w:right w:val="nil"/>
          <w:insideH w:val="nil"/>
          <w:insideV w:val="nil"/>
        </w:tcBorders>
        <w:shd w:val="clear" w:color="auto" w:fill="4BACC6" w:themeFill="accent5"/>
      </w:tcPr>
    </w:tblStylePr>
    <w:tblStylePr w:type="band1Vert">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nil"/>
          <w:insideV w:val="nil"/>
        </w:tcBorders>
        <w:shd w:val="clear" w:color="auto" w:fill="A5D5E2" w:themeFill="accent5" w:themeFillTint="7F"/>
      </w:tcPr>
    </w:tblStylePr>
    <w:tblStylePr w:type="band1Horz">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8" w:space="0" w:color="FFFFFF" w:themeColor="background1"/>
          <w:insideV w:val="single" w:sz="8" w:space="0" w:color="FFFFFF" w:themeColor="background1"/>
        </w:tcBorders>
        <w:shd w:val="clear" w:color="auto" w:fill="A5D5E2" w:themeFill="accent5" w:themeFillTint="7F"/>
      </w:tcPr>
    </w:tblStylePr>
  </w:style>
  <w:style w:type="table" w:styleId="MediumGrid3-Accent6">
    <w:name w:val="Medium Grid 3 Accent 6"/>
    <w:basedOn w:val="TableNormal"/>
    <w:uiPriority w:val="69"/>
    <w:semiHidden/>
    <w:unhideWhenUsed/>
    <w:rsid w:val="00167B18"/>
    <w:pPr>
      <w:spacing w:after="0" w:line="240" w:lineRule="auto"/>
    </w:pPr>
    <w:tblPr>
      <w:tblStyleRowBandSize w:val="1"/>
      <w:tblStyleColBandSize w:val="1"/>
      <w:tbl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6" w:space="0" w:color="FFFFFF" w:themeColor="background1"/>
        <w:insideV w:val="single" w:sz="6" w:space="0" w:color="FFFFFF" w:themeColor="background1"/>
      </w:tblBorders>
    </w:tblPr>
    <w:tcPr>
      <w:shd w:val="clear" w:color="auto" w:fill="FDE4D0" w:themeFill="accent6" w:themeFillTint="3F"/>
    </w:tcPr>
    <w:tblStylePr w:type="firstRow">
      <w:rPr>
        <w:b/>
        <w:bCs/>
        <w:i w:val="0"/>
        <w:iCs w:val="0"/>
        <w:color w:val="FFFFFF" w:themeColor="background1"/>
      </w:rPr>
      <w:tblPr/>
      <w:tcPr>
        <w:tcBorders>
          <w:top w:val="single" w:sz="8" w:space="0" w:color="FFFFFF" w:themeColor="background1"/>
          <w:left w:val="single" w:sz="8" w:space="0" w:color="FFFFFF" w:themeColor="background1"/>
          <w:bottom w:val="single" w:sz="24" w:space="0" w:color="FFFFFF" w:themeColor="background1"/>
          <w:right w:val="single" w:sz="8" w:space="0" w:color="FFFFFF" w:themeColor="background1"/>
          <w:insideH w:val="nil"/>
          <w:insideV w:val="single" w:sz="8" w:space="0" w:color="FFFFFF" w:themeColor="background1"/>
        </w:tcBorders>
        <w:shd w:val="clear" w:color="auto" w:fill="F79646" w:themeFill="accent6"/>
      </w:tcPr>
    </w:tblStylePr>
    <w:tblStylePr w:type="lastRow">
      <w:rPr>
        <w:b/>
        <w:bCs/>
        <w:i w:val="0"/>
        <w:iCs w:val="0"/>
        <w:color w:val="FFFFFF" w:themeColor="background1"/>
      </w:rPr>
      <w:tblPr/>
      <w:tcPr>
        <w:tcBorders>
          <w:top w:val="single" w:sz="24" w:space="0" w:color="FFFFFF" w:themeColor="background1"/>
          <w:left w:val="single" w:sz="8" w:space="0" w:color="FFFFFF" w:themeColor="background1"/>
          <w:bottom w:val="single" w:sz="8" w:space="0" w:color="FFFFFF" w:themeColor="background1"/>
          <w:right w:val="single" w:sz="8" w:space="0" w:color="FFFFFF" w:themeColor="background1"/>
          <w:insideH w:val="nil"/>
          <w:insideV w:val="single" w:sz="8" w:space="0" w:color="FFFFFF" w:themeColor="background1"/>
        </w:tcBorders>
        <w:shd w:val="clear" w:color="auto" w:fill="F79646" w:themeFill="accent6"/>
      </w:tcPr>
    </w:tblStylePr>
    <w:tblStylePr w:type="firstCol">
      <w:rPr>
        <w:b/>
        <w:bCs/>
        <w:i w:val="0"/>
        <w:iCs w:val="0"/>
        <w:color w:val="FFFFFF" w:themeColor="background1"/>
      </w:rPr>
      <w:tblPr/>
      <w:tcPr>
        <w:tcBorders>
          <w:left w:val="single" w:sz="8" w:space="0" w:color="FFFFFF" w:themeColor="background1"/>
          <w:right w:val="single" w:sz="24" w:space="0" w:color="FFFFFF" w:themeColor="background1"/>
          <w:insideH w:val="nil"/>
          <w:insideV w:val="nil"/>
        </w:tcBorders>
        <w:shd w:val="clear" w:color="auto" w:fill="F79646" w:themeFill="accent6"/>
      </w:tcPr>
    </w:tblStylePr>
    <w:tblStylePr w:type="lastCol">
      <w:rPr>
        <w:b/>
        <w:bCs/>
        <w:i w:val="0"/>
        <w:iCs w:val="0"/>
        <w:color w:val="FFFFFF" w:themeColor="background1"/>
      </w:rPr>
      <w:tblPr/>
      <w:tcPr>
        <w:tcBorders>
          <w:top w:val="nil"/>
          <w:left w:val="single" w:sz="24" w:space="0" w:color="FFFFFF" w:themeColor="background1"/>
          <w:bottom w:val="nil"/>
          <w:right w:val="nil"/>
          <w:insideH w:val="nil"/>
          <w:insideV w:val="nil"/>
        </w:tcBorders>
        <w:shd w:val="clear" w:color="auto" w:fill="F79646" w:themeFill="accent6"/>
      </w:tcPr>
    </w:tblStylePr>
    <w:tblStylePr w:type="band1Vert">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nil"/>
          <w:insideV w:val="nil"/>
        </w:tcBorders>
        <w:shd w:val="clear" w:color="auto" w:fill="FBCAA2" w:themeFill="accent6" w:themeFillTint="7F"/>
      </w:tcPr>
    </w:tblStylePr>
    <w:tblStylePr w:type="band1Horz">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8" w:space="0" w:color="FFFFFF" w:themeColor="background1"/>
          <w:insideV w:val="single" w:sz="8" w:space="0" w:color="FFFFFF" w:themeColor="background1"/>
        </w:tcBorders>
        <w:shd w:val="clear" w:color="auto" w:fill="FBCAA2" w:themeFill="accent6" w:themeFillTint="7F"/>
      </w:tcPr>
    </w:tblStylePr>
  </w:style>
  <w:style w:type="table" w:styleId="MediumList1">
    <w:name w:val="Medium List 1"/>
    <w:basedOn w:val="TableNormal"/>
    <w:uiPriority w:val="65"/>
    <w:semiHidden/>
    <w:unhideWhenUsed/>
    <w:rsid w:val="00167B18"/>
    <w:pPr>
      <w:spacing w:after="0" w:line="240" w:lineRule="auto"/>
    </w:pPr>
    <w:rPr>
      <w:color w:val="000000" w:themeColor="text1"/>
    </w:rPr>
    <w:tblPr>
      <w:tblStyleRowBandSize w:val="1"/>
      <w:tblStyleColBandSize w:val="1"/>
      <w:tblBorders>
        <w:top w:val="single" w:sz="8" w:space="0" w:color="000000" w:themeColor="text1"/>
        <w:bottom w:val="single" w:sz="8" w:space="0" w:color="000000" w:themeColor="text1"/>
      </w:tblBorders>
    </w:tblPr>
    <w:tblStylePr w:type="firstRow">
      <w:rPr>
        <w:rFonts w:asciiTheme="majorHAnsi" w:eastAsiaTheme="majorEastAsia" w:hAnsiTheme="majorHAnsi" w:cstheme="majorBidi"/>
      </w:rPr>
      <w:tblPr/>
      <w:tcPr>
        <w:tcBorders>
          <w:top w:val="nil"/>
          <w:bottom w:val="single" w:sz="8" w:space="0" w:color="000000" w:themeColor="text1"/>
        </w:tcBorders>
      </w:tcPr>
    </w:tblStylePr>
    <w:tblStylePr w:type="lastRow">
      <w:rPr>
        <w:b/>
        <w:bCs/>
        <w:color w:val="1F497D" w:themeColor="text2"/>
      </w:rPr>
      <w:tblPr/>
      <w:tcPr>
        <w:tcBorders>
          <w:top w:val="single" w:sz="8" w:space="0" w:color="000000" w:themeColor="text1"/>
          <w:bottom w:val="single" w:sz="8" w:space="0" w:color="000000" w:themeColor="text1"/>
        </w:tcBorders>
      </w:tcPr>
    </w:tblStylePr>
    <w:tblStylePr w:type="firstCol">
      <w:rPr>
        <w:b/>
        <w:bCs/>
      </w:rPr>
    </w:tblStylePr>
    <w:tblStylePr w:type="lastCol">
      <w:rPr>
        <w:b/>
        <w:bCs/>
      </w:rPr>
      <w:tblPr/>
      <w:tcPr>
        <w:tcBorders>
          <w:top w:val="single" w:sz="8" w:space="0" w:color="000000" w:themeColor="text1"/>
          <w:bottom w:val="single" w:sz="8" w:space="0" w:color="000000" w:themeColor="text1"/>
        </w:tcBorders>
      </w:tcPr>
    </w:tblStylePr>
    <w:tblStylePr w:type="band1Vert">
      <w:tblPr/>
      <w:tcPr>
        <w:shd w:val="clear" w:color="auto" w:fill="C0C0C0" w:themeFill="text1" w:themeFillTint="3F"/>
      </w:tcPr>
    </w:tblStylePr>
    <w:tblStylePr w:type="band1Horz">
      <w:tblPr/>
      <w:tcPr>
        <w:shd w:val="clear" w:color="auto" w:fill="C0C0C0" w:themeFill="text1" w:themeFillTint="3F"/>
      </w:tcPr>
    </w:tblStylePr>
  </w:style>
  <w:style w:type="table" w:styleId="MediumList1-Accent1">
    <w:name w:val="Medium List 1 Accent 1"/>
    <w:basedOn w:val="TableNormal"/>
    <w:uiPriority w:val="65"/>
    <w:semiHidden/>
    <w:unhideWhenUsed/>
    <w:rsid w:val="00167B18"/>
    <w:pPr>
      <w:spacing w:after="0" w:line="240" w:lineRule="auto"/>
    </w:pPr>
    <w:rPr>
      <w:color w:val="000000" w:themeColor="text1"/>
    </w:rPr>
    <w:tblPr>
      <w:tblStyleRowBandSize w:val="1"/>
      <w:tblStyleColBandSize w:val="1"/>
      <w:tblBorders>
        <w:top w:val="single" w:sz="8" w:space="0" w:color="4F81BD" w:themeColor="accent1"/>
        <w:bottom w:val="single" w:sz="8" w:space="0" w:color="4F81BD" w:themeColor="accent1"/>
      </w:tblBorders>
    </w:tblPr>
    <w:tblStylePr w:type="firstRow">
      <w:rPr>
        <w:rFonts w:asciiTheme="majorHAnsi" w:eastAsiaTheme="majorEastAsia" w:hAnsiTheme="majorHAnsi" w:cstheme="majorBidi"/>
      </w:rPr>
      <w:tblPr/>
      <w:tcPr>
        <w:tcBorders>
          <w:top w:val="nil"/>
          <w:bottom w:val="single" w:sz="8" w:space="0" w:color="4F81BD" w:themeColor="accent1"/>
        </w:tcBorders>
      </w:tcPr>
    </w:tblStylePr>
    <w:tblStylePr w:type="lastRow">
      <w:rPr>
        <w:b/>
        <w:bCs/>
        <w:color w:val="1F497D" w:themeColor="text2"/>
      </w:rPr>
      <w:tblPr/>
      <w:tcPr>
        <w:tcBorders>
          <w:top w:val="single" w:sz="8" w:space="0" w:color="4F81BD" w:themeColor="accent1"/>
          <w:bottom w:val="single" w:sz="8" w:space="0" w:color="4F81BD" w:themeColor="accent1"/>
        </w:tcBorders>
      </w:tcPr>
    </w:tblStylePr>
    <w:tblStylePr w:type="firstCol">
      <w:rPr>
        <w:b/>
        <w:bCs/>
      </w:rPr>
    </w:tblStylePr>
    <w:tblStylePr w:type="lastCol">
      <w:rPr>
        <w:b/>
        <w:bCs/>
      </w:rPr>
      <w:tblPr/>
      <w:tcPr>
        <w:tcBorders>
          <w:top w:val="single" w:sz="8" w:space="0" w:color="4F81BD" w:themeColor="accent1"/>
          <w:bottom w:val="single" w:sz="8" w:space="0" w:color="4F81BD" w:themeColor="accent1"/>
        </w:tcBorders>
      </w:tcPr>
    </w:tblStylePr>
    <w:tblStylePr w:type="band1Vert">
      <w:tblPr/>
      <w:tcPr>
        <w:shd w:val="clear" w:color="auto" w:fill="D3DFEE" w:themeFill="accent1" w:themeFillTint="3F"/>
      </w:tcPr>
    </w:tblStylePr>
    <w:tblStylePr w:type="band1Horz">
      <w:tblPr/>
      <w:tcPr>
        <w:shd w:val="clear" w:color="auto" w:fill="D3DFEE" w:themeFill="accent1" w:themeFillTint="3F"/>
      </w:tcPr>
    </w:tblStylePr>
  </w:style>
  <w:style w:type="table" w:styleId="MediumList1-Accent2">
    <w:name w:val="Medium List 1 Accent 2"/>
    <w:basedOn w:val="TableNormal"/>
    <w:uiPriority w:val="65"/>
    <w:semiHidden/>
    <w:unhideWhenUsed/>
    <w:rsid w:val="00167B18"/>
    <w:pPr>
      <w:spacing w:after="0" w:line="240" w:lineRule="auto"/>
    </w:pPr>
    <w:rPr>
      <w:color w:val="000000" w:themeColor="text1"/>
    </w:rPr>
    <w:tblPr>
      <w:tblStyleRowBandSize w:val="1"/>
      <w:tblStyleColBandSize w:val="1"/>
      <w:tblBorders>
        <w:top w:val="single" w:sz="8" w:space="0" w:color="C0504D" w:themeColor="accent2"/>
        <w:bottom w:val="single" w:sz="8" w:space="0" w:color="C0504D" w:themeColor="accent2"/>
      </w:tblBorders>
    </w:tblPr>
    <w:tblStylePr w:type="firstRow">
      <w:rPr>
        <w:rFonts w:asciiTheme="majorHAnsi" w:eastAsiaTheme="majorEastAsia" w:hAnsiTheme="majorHAnsi" w:cstheme="majorBidi"/>
      </w:rPr>
      <w:tblPr/>
      <w:tcPr>
        <w:tcBorders>
          <w:top w:val="nil"/>
          <w:bottom w:val="single" w:sz="8" w:space="0" w:color="C0504D" w:themeColor="accent2"/>
        </w:tcBorders>
      </w:tcPr>
    </w:tblStylePr>
    <w:tblStylePr w:type="lastRow">
      <w:rPr>
        <w:b/>
        <w:bCs/>
        <w:color w:val="1F497D" w:themeColor="text2"/>
      </w:rPr>
      <w:tblPr/>
      <w:tcPr>
        <w:tcBorders>
          <w:top w:val="single" w:sz="8" w:space="0" w:color="C0504D" w:themeColor="accent2"/>
          <w:bottom w:val="single" w:sz="8" w:space="0" w:color="C0504D" w:themeColor="accent2"/>
        </w:tcBorders>
      </w:tcPr>
    </w:tblStylePr>
    <w:tblStylePr w:type="firstCol">
      <w:rPr>
        <w:b/>
        <w:bCs/>
      </w:rPr>
    </w:tblStylePr>
    <w:tblStylePr w:type="lastCol">
      <w:rPr>
        <w:b/>
        <w:bCs/>
      </w:rPr>
      <w:tblPr/>
      <w:tcPr>
        <w:tcBorders>
          <w:top w:val="single" w:sz="8" w:space="0" w:color="C0504D" w:themeColor="accent2"/>
          <w:bottom w:val="single" w:sz="8" w:space="0" w:color="C0504D" w:themeColor="accent2"/>
        </w:tcBorders>
      </w:tcPr>
    </w:tblStylePr>
    <w:tblStylePr w:type="band1Vert">
      <w:tblPr/>
      <w:tcPr>
        <w:shd w:val="clear" w:color="auto" w:fill="EFD3D2" w:themeFill="accent2" w:themeFillTint="3F"/>
      </w:tcPr>
    </w:tblStylePr>
    <w:tblStylePr w:type="band1Horz">
      <w:tblPr/>
      <w:tcPr>
        <w:shd w:val="clear" w:color="auto" w:fill="EFD3D2" w:themeFill="accent2" w:themeFillTint="3F"/>
      </w:tcPr>
    </w:tblStylePr>
  </w:style>
  <w:style w:type="table" w:styleId="MediumList1-Accent3">
    <w:name w:val="Medium List 1 Accent 3"/>
    <w:basedOn w:val="TableNormal"/>
    <w:uiPriority w:val="65"/>
    <w:semiHidden/>
    <w:unhideWhenUsed/>
    <w:rsid w:val="00167B18"/>
    <w:pPr>
      <w:spacing w:after="0" w:line="240" w:lineRule="auto"/>
    </w:pPr>
    <w:rPr>
      <w:color w:val="000000" w:themeColor="text1"/>
    </w:rPr>
    <w:tblPr>
      <w:tblStyleRowBandSize w:val="1"/>
      <w:tblStyleColBandSize w:val="1"/>
      <w:tblBorders>
        <w:top w:val="single" w:sz="8" w:space="0" w:color="9BBB59" w:themeColor="accent3"/>
        <w:bottom w:val="single" w:sz="8" w:space="0" w:color="9BBB59" w:themeColor="accent3"/>
      </w:tblBorders>
    </w:tblPr>
    <w:tblStylePr w:type="firstRow">
      <w:rPr>
        <w:rFonts w:asciiTheme="majorHAnsi" w:eastAsiaTheme="majorEastAsia" w:hAnsiTheme="majorHAnsi" w:cstheme="majorBidi"/>
      </w:rPr>
      <w:tblPr/>
      <w:tcPr>
        <w:tcBorders>
          <w:top w:val="nil"/>
          <w:bottom w:val="single" w:sz="8" w:space="0" w:color="9BBB59" w:themeColor="accent3"/>
        </w:tcBorders>
      </w:tcPr>
    </w:tblStylePr>
    <w:tblStylePr w:type="lastRow">
      <w:rPr>
        <w:b/>
        <w:bCs/>
        <w:color w:val="1F497D" w:themeColor="text2"/>
      </w:rPr>
      <w:tblPr/>
      <w:tcPr>
        <w:tcBorders>
          <w:top w:val="single" w:sz="8" w:space="0" w:color="9BBB59" w:themeColor="accent3"/>
          <w:bottom w:val="single" w:sz="8" w:space="0" w:color="9BBB59" w:themeColor="accent3"/>
        </w:tcBorders>
      </w:tcPr>
    </w:tblStylePr>
    <w:tblStylePr w:type="firstCol">
      <w:rPr>
        <w:b/>
        <w:bCs/>
      </w:rPr>
    </w:tblStylePr>
    <w:tblStylePr w:type="lastCol">
      <w:rPr>
        <w:b/>
        <w:bCs/>
      </w:rPr>
      <w:tblPr/>
      <w:tcPr>
        <w:tcBorders>
          <w:top w:val="single" w:sz="8" w:space="0" w:color="9BBB59" w:themeColor="accent3"/>
          <w:bottom w:val="single" w:sz="8" w:space="0" w:color="9BBB59" w:themeColor="accent3"/>
        </w:tcBorders>
      </w:tcPr>
    </w:tblStylePr>
    <w:tblStylePr w:type="band1Vert">
      <w:tblPr/>
      <w:tcPr>
        <w:shd w:val="clear" w:color="auto" w:fill="E6EED5" w:themeFill="accent3" w:themeFillTint="3F"/>
      </w:tcPr>
    </w:tblStylePr>
    <w:tblStylePr w:type="band1Horz">
      <w:tblPr/>
      <w:tcPr>
        <w:shd w:val="clear" w:color="auto" w:fill="E6EED5" w:themeFill="accent3" w:themeFillTint="3F"/>
      </w:tcPr>
    </w:tblStylePr>
  </w:style>
  <w:style w:type="table" w:styleId="MediumList1-Accent4">
    <w:name w:val="Medium List 1 Accent 4"/>
    <w:basedOn w:val="TableNormal"/>
    <w:uiPriority w:val="65"/>
    <w:semiHidden/>
    <w:unhideWhenUsed/>
    <w:rsid w:val="00167B18"/>
    <w:pPr>
      <w:spacing w:after="0" w:line="240" w:lineRule="auto"/>
    </w:pPr>
    <w:rPr>
      <w:color w:val="000000" w:themeColor="text1"/>
    </w:rPr>
    <w:tblPr>
      <w:tblStyleRowBandSize w:val="1"/>
      <w:tblStyleColBandSize w:val="1"/>
      <w:tblBorders>
        <w:top w:val="single" w:sz="8" w:space="0" w:color="8064A2" w:themeColor="accent4"/>
        <w:bottom w:val="single" w:sz="8" w:space="0" w:color="8064A2" w:themeColor="accent4"/>
      </w:tblBorders>
    </w:tblPr>
    <w:tblStylePr w:type="firstRow">
      <w:rPr>
        <w:rFonts w:asciiTheme="majorHAnsi" w:eastAsiaTheme="majorEastAsia" w:hAnsiTheme="majorHAnsi" w:cstheme="majorBidi"/>
      </w:rPr>
      <w:tblPr/>
      <w:tcPr>
        <w:tcBorders>
          <w:top w:val="nil"/>
          <w:bottom w:val="single" w:sz="8" w:space="0" w:color="8064A2" w:themeColor="accent4"/>
        </w:tcBorders>
      </w:tcPr>
    </w:tblStylePr>
    <w:tblStylePr w:type="lastRow">
      <w:rPr>
        <w:b/>
        <w:bCs/>
        <w:color w:val="1F497D" w:themeColor="text2"/>
      </w:rPr>
      <w:tblPr/>
      <w:tcPr>
        <w:tcBorders>
          <w:top w:val="single" w:sz="8" w:space="0" w:color="8064A2" w:themeColor="accent4"/>
          <w:bottom w:val="single" w:sz="8" w:space="0" w:color="8064A2" w:themeColor="accent4"/>
        </w:tcBorders>
      </w:tcPr>
    </w:tblStylePr>
    <w:tblStylePr w:type="firstCol">
      <w:rPr>
        <w:b/>
        <w:bCs/>
      </w:rPr>
    </w:tblStylePr>
    <w:tblStylePr w:type="lastCol">
      <w:rPr>
        <w:b/>
        <w:bCs/>
      </w:rPr>
      <w:tblPr/>
      <w:tcPr>
        <w:tcBorders>
          <w:top w:val="single" w:sz="8" w:space="0" w:color="8064A2" w:themeColor="accent4"/>
          <w:bottom w:val="single" w:sz="8" w:space="0" w:color="8064A2" w:themeColor="accent4"/>
        </w:tcBorders>
      </w:tcPr>
    </w:tblStylePr>
    <w:tblStylePr w:type="band1Vert">
      <w:tblPr/>
      <w:tcPr>
        <w:shd w:val="clear" w:color="auto" w:fill="DFD8E8" w:themeFill="accent4" w:themeFillTint="3F"/>
      </w:tcPr>
    </w:tblStylePr>
    <w:tblStylePr w:type="band1Horz">
      <w:tblPr/>
      <w:tcPr>
        <w:shd w:val="clear" w:color="auto" w:fill="DFD8E8" w:themeFill="accent4" w:themeFillTint="3F"/>
      </w:tcPr>
    </w:tblStylePr>
  </w:style>
  <w:style w:type="table" w:styleId="MediumList1-Accent5">
    <w:name w:val="Medium List 1 Accent 5"/>
    <w:basedOn w:val="TableNormal"/>
    <w:uiPriority w:val="65"/>
    <w:semiHidden/>
    <w:unhideWhenUsed/>
    <w:rsid w:val="00167B18"/>
    <w:pPr>
      <w:spacing w:after="0" w:line="240" w:lineRule="auto"/>
    </w:pPr>
    <w:rPr>
      <w:color w:val="000000" w:themeColor="text1"/>
    </w:rPr>
    <w:tblPr>
      <w:tblStyleRowBandSize w:val="1"/>
      <w:tblStyleColBandSize w:val="1"/>
      <w:tblBorders>
        <w:top w:val="single" w:sz="8" w:space="0" w:color="4BACC6" w:themeColor="accent5"/>
        <w:bottom w:val="single" w:sz="8" w:space="0" w:color="4BACC6" w:themeColor="accent5"/>
      </w:tblBorders>
    </w:tblPr>
    <w:tblStylePr w:type="firstRow">
      <w:rPr>
        <w:rFonts w:asciiTheme="majorHAnsi" w:eastAsiaTheme="majorEastAsia" w:hAnsiTheme="majorHAnsi" w:cstheme="majorBidi"/>
      </w:rPr>
      <w:tblPr/>
      <w:tcPr>
        <w:tcBorders>
          <w:top w:val="nil"/>
          <w:bottom w:val="single" w:sz="8" w:space="0" w:color="4BACC6" w:themeColor="accent5"/>
        </w:tcBorders>
      </w:tcPr>
    </w:tblStylePr>
    <w:tblStylePr w:type="lastRow">
      <w:rPr>
        <w:b/>
        <w:bCs/>
        <w:color w:val="1F497D" w:themeColor="text2"/>
      </w:rPr>
      <w:tblPr/>
      <w:tcPr>
        <w:tcBorders>
          <w:top w:val="single" w:sz="8" w:space="0" w:color="4BACC6" w:themeColor="accent5"/>
          <w:bottom w:val="single" w:sz="8" w:space="0" w:color="4BACC6" w:themeColor="accent5"/>
        </w:tcBorders>
      </w:tcPr>
    </w:tblStylePr>
    <w:tblStylePr w:type="firstCol">
      <w:rPr>
        <w:b/>
        <w:bCs/>
      </w:rPr>
    </w:tblStylePr>
    <w:tblStylePr w:type="lastCol">
      <w:rPr>
        <w:b/>
        <w:bCs/>
      </w:rPr>
      <w:tblPr/>
      <w:tcPr>
        <w:tcBorders>
          <w:top w:val="single" w:sz="8" w:space="0" w:color="4BACC6" w:themeColor="accent5"/>
          <w:bottom w:val="single" w:sz="8" w:space="0" w:color="4BACC6" w:themeColor="accent5"/>
        </w:tcBorders>
      </w:tcPr>
    </w:tblStylePr>
    <w:tblStylePr w:type="band1Vert">
      <w:tblPr/>
      <w:tcPr>
        <w:shd w:val="clear" w:color="auto" w:fill="D2EAF1" w:themeFill="accent5" w:themeFillTint="3F"/>
      </w:tcPr>
    </w:tblStylePr>
    <w:tblStylePr w:type="band1Horz">
      <w:tblPr/>
      <w:tcPr>
        <w:shd w:val="clear" w:color="auto" w:fill="D2EAF1" w:themeFill="accent5" w:themeFillTint="3F"/>
      </w:tcPr>
    </w:tblStylePr>
  </w:style>
  <w:style w:type="table" w:styleId="MediumList1-Accent6">
    <w:name w:val="Medium List 1 Accent 6"/>
    <w:basedOn w:val="TableNormal"/>
    <w:uiPriority w:val="65"/>
    <w:semiHidden/>
    <w:unhideWhenUsed/>
    <w:rsid w:val="00167B18"/>
    <w:pPr>
      <w:spacing w:after="0" w:line="240" w:lineRule="auto"/>
    </w:pPr>
    <w:rPr>
      <w:color w:val="000000" w:themeColor="text1"/>
    </w:rPr>
    <w:tblPr>
      <w:tblStyleRowBandSize w:val="1"/>
      <w:tblStyleColBandSize w:val="1"/>
      <w:tblBorders>
        <w:top w:val="single" w:sz="8" w:space="0" w:color="F79646" w:themeColor="accent6"/>
        <w:bottom w:val="single" w:sz="8" w:space="0" w:color="F79646" w:themeColor="accent6"/>
      </w:tblBorders>
    </w:tblPr>
    <w:tblStylePr w:type="firstRow">
      <w:rPr>
        <w:rFonts w:asciiTheme="majorHAnsi" w:eastAsiaTheme="majorEastAsia" w:hAnsiTheme="majorHAnsi" w:cstheme="majorBidi"/>
      </w:rPr>
      <w:tblPr/>
      <w:tcPr>
        <w:tcBorders>
          <w:top w:val="nil"/>
          <w:bottom w:val="single" w:sz="8" w:space="0" w:color="F79646" w:themeColor="accent6"/>
        </w:tcBorders>
      </w:tcPr>
    </w:tblStylePr>
    <w:tblStylePr w:type="lastRow">
      <w:rPr>
        <w:b/>
        <w:bCs/>
        <w:color w:val="1F497D" w:themeColor="text2"/>
      </w:rPr>
      <w:tblPr/>
      <w:tcPr>
        <w:tcBorders>
          <w:top w:val="single" w:sz="8" w:space="0" w:color="F79646" w:themeColor="accent6"/>
          <w:bottom w:val="single" w:sz="8" w:space="0" w:color="F79646" w:themeColor="accent6"/>
        </w:tcBorders>
      </w:tcPr>
    </w:tblStylePr>
    <w:tblStylePr w:type="firstCol">
      <w:rPr>
        <w:b/>
        <w:bCs/>
      </w:rPr>
    </w:tblStylePr>
    <w:tblStylePr w:type="lastCol">
      <w:rPr>
        <w:b/>
        <w:bCs/>
      </w:rPr>
      <w:tblPr/>
      <w:tcPr>
        <w:tcBorders>
          <w:top w:val="single" w:sz="8" w:space="0" w:color="F79646" w:themeColor="accent6"/>
          <w:bottom w:val="single" w:sz="8" w:space="0" w:color="F79646" w:themeColor="accent6"/>
        </w:tcBorders>
      </w:tcPr>
    </w:tblStylePr>
    <w:tblStylePr w:type="band1Vert">
      <w:tblPr/>
      <w:tcPr>
        <w:shd w:val="clear" w:color="auto" w:fill="FDE4D0" w:themeFill="accent6" w:themeFillTint="3F"/>
      </w:tcPr>
    </w:tblStylePr>
    <w:tblStylePr w:type="band1Horz">
      <w:tblPr/>
      <w:tcPr>
        <w:shd w:val="clear" w:color="auto" w:fill="FDE4D0" w:themeFill="accent6" w:themeFillTint="3F"/>
      </w:tcPr>
    </w:tblStylePr>
  </w:style>
  <w:style w:type="table" w:styleId="MediumList2">
    <w:name w:val="Medium List 2"/>
    <w:basedOn w:val="TableNormal"/>
    <w:uiPriority w:val="66"/>
    <w:semiHidden/>
    <w:unhideWhenUsed/>
    <w:rsid w:val="00167B18"/>
    <w:pPr>
      <w:spacing w:after="0" w:line="240" w:lineRule="auto"/>
    </w:pPr>
    <w:rPr>
      <w:rFonts w:asciiTheme="majorHAnsi" w:eastAsiaTheme="majorEastAsia" w:hAnsiTheme="majorHAnsi" w:cstheme="majorBidi"/>
      <w:color w:val="000000" w:themeColor="text1"/>
    </w:rPr>
    <w:tblPr>
      <w:tblStyleRowBandSize w:val="1"/>
      <w:tblStyleColBandSize w:val="1"/>
      <w:tblBorders>
        <w:top w:val="single" w:sz="8" w:space="0" w:color="000000" w:themeColor="text1"/>
        <w:left w:val="single" w:sz="8" w:space="0" w:color="000000" w:themeColor="text1"/>
        <w:bottom w:val="single" w:sz="8" w:space="0" w:color="000000" w:themeColor="text1"/>
        <w:right w:val="single" w:sz="8" w:space="0" w:color="000000" w:themeColor="text1"/>
      </w:tblBorders>
    </w:tblPr>
    <w:tblStylePr w:type="firstRow">
      <w:rPr>
        <w:sz w:val="24"/>
        <w:szCs w:val="24"/>
      </w:rPr>
      <w:tblPr/>
      <w:tcPr>
        <w:tcBorders>
          <w:top w:val="nil"/>
          <w:left w:val="nil"/>
          <w:bottom w:val="single" w:sz="24" w:space="0" w:color="000000" w:themeColor="text1"/>
          <w:right w:val="nil"/>
          <w:insideH w:val="nil"/>
          <w:insideV w:val="nil"/>
        </w:tcBorders>
        <w:shd w:val="clear" w:color="auto" w:fill="FFFFFF" w:themeFill="background1"/>
      </w:tcPr>
    </w:tblStylePr>
    <w:tblStylePr w:type="lastRow">
      <w:tblPr/>
      <w:tcPr>
        <w:tcBorders>
          <w:top w:val="single" w:sz="8" w:space="0" w:color="000000" w:themeColor="text1"/>
          <w:left w:val="nil"/>
          <w:bottom w:val="nil"/>
          <w:right w:val="nil"/>
          <w:insideH w:val="nil"/>
          <w:insideV w:val="nil"/>
        </w:tcBorders>
        <w:shd w:val="clear" w:color="auto" w:fill="FFFFFF" w:themeFill="background1"/>
      </w:tcPr>
    </w:tblStylePr>
    <w:tblStylePr w:type="firstCol">
      <w:tblPr/>
      <w:tcPr>
        <w:tcBorders>
          <w:top w:val="nil"/>
          <w:left w:val="nil"/>
          <w:bottom w:val="nil"/>
          <w:right w:val="single" w:sz="8" w:space="0" w:color="000000" w:themeColor="text1"/>
          <w:insideH w:val="nil"/>
          <w:insideV w:val="nil"/>
        </w:tcBorders>
        <w:shd w:val="clear" w:color="auto" w:fill="FFFFFF" w:themeFill="background1"/>
      </w:tcPr>
    </w:tblStylePr>
    <w:tblStylePr w:type="lastCol">
      <w:tblPr/>
      <w:tcPr>
        <w:tcBorders>
          <w:top w:val="nil"/>
          <w:left w:val="single" w:sz="8" w:space="0" w:color="000000" w:themeColor="text1"/>
          <w:bottom w:val="nil"/>
          <w:right w:val="nil"/>
          <w:insideH w:val="nil"/>
          <w:insideV w:val="nil"/>
        </w:tcBorders>
        <w:shd w:val="clear" w:color="auto" w:fill="FFFFFF" w:themeFill="background1"/>
      </w:tcPr>
    </w:tblStylePr>
    <w:tblStylePr w:type="band1Vert">
      <w:tblPr/>
      <w:tcPr>
        <w:tcBorders>
          <w:left w:val="nil"/>
          <w:right w:val="nil"/>
          <w:insideH w:val="nil"/>
          <w:insideV w:val="nil"/>
        </w:tcBorders>
        <w:shd w:val="clear" w:color="auto" w:fill="C0C0C0" w:themeFill="text1" w:themeFillTint="3F"/>
      </w:tcPr>
    </w:tblStylePr>
    <w:tblStylePr w:type="band1Horz">
      <w:tblPr/>
      <w:tcPr>
        <w:tcBorders>
          <w:top w:val="nil"/>
          <w:bottom w:val="nil"/>
          <w:insideH w:val="nil"/>
          <w:insideV w:val="nil"/>
        </w:tcBorders>
        <w:shd w:val="clear" w:color="auto" w:fill="C0C0C0" w:themeFill="text1" w:themeFillTint="3F"/>
      </w:tcPr>
    </w:tblStylePr>
    <w:tblStylePr w:type="nwCell">
      <w:tblPr/>
      <w:tcPr>
        <w:shd w:val="clear" w:color="auto" w:fill="FFFFFF" w:themeFill="background1"/>
      </w:tcPr>
    </w:tblStylePr>
    <w:tblStylePr w:type="swCell">
      <w:tblPr/>
      <w:tcPr>
        <w:tcBorders>
          <w:top w:val="nil"/>
        </w:tcBorders>
      </w:tcPr>
    </w:tblStylePr>
  </w:style>
  <w:style w:type="table" w:styleId="MediumList2-Accent1">
    <w:name w:val="Medium List 2 Accent 1"/>
    <w:basedOn w:val="TableNormal"/>
    <w:uiPriority w:val="66"/>
    <w:semiHidden/>
    <w:unhideWhenUsed/>
    <w:rsid w:val="00167B18"/>
    <w:pPr>
      <w:spacing w:after="0" w:line="240" w:lineRule="auto"/>
    </w:pPr>
    <w:rPr>
      <w:rFonts w:asciiTheme="majorHAnsi" w:eastAsiaTheme="majorEastAsia" w:hAnsiTheme="majorHAnsi" w:cstheme="majorBidi"/>
      <w:color w:val="000000" w:themeColor="text1"/>
    </w:rPr>
    <w:tblPr>
      <w:tblStyleRowBandSize w:val="1"/>
      <w:tblStyleColBandSize w:val="1"/>
      <w:tblBorders>
        <w:top w:val="single" w:sz="8" w:space="0" w:color="4F81BD" w:themeColor="accent1"/>
        <w:left w:val="single" w:sz="8" w:space="0" w:color="4F81BD" w:themeColor="accent1"/>
        <w:bottom w:val="single" w:sz="8" w:space="0" w:color="4F81BD" w:themeColor="accent1"/>
        <w:right w:val="single" w:sz="8" w:space="0" w:color="4F81BD" w:themeColor="accent1"/>
      </w:tblBorders>
    </w:tblPr>
    <w:tblStylePr w:type="firstRow">
      <w:rPr>
        <w:sz w:val="24"/>
        <w:szCs w:val="24"/>
      </w:rPr>
      <w:tblPr/>
      <w:tcPr>
        <w:tcBorders>
          <w:top w:val="nil"/>
          <w:left w:val="nil"/>
          <w:bottom w:val="single" w:sz="24" w:space="0" w:color="4F81BD" w:themeColor="accent1"/>
          <w:right w:val="nil"/>
          <w:insideH w:val="nil"/>
          <w:insideV w:val="nil"/>
        </w:tcBorders>
        <w:shd w:val="clear" w:color="auto" w:fill="FFFFFF" w:themeFill="background1"/>
      </w:tcPr>
    </w:tblStylePr>
    <w:tblStylePr w:type="lastRow">
      <w:tblPr/>
      <w:tcPr>
        <w:tcBorders>
          <w:top w:val="single" w:sz="8" w:space="0" w:color="4F81BD" w:themeColor="accent1"/>
          <w:left w:val="nil"/>
          <w:bottom w:val="nil"/>
          <w:right w:val="nil"/>
          <w:insideH w:val="nil"/>
          <w:insideV w:val="nil"/>
        </w:tcBorders>
        <w:shd w:val="clear" w:color="auto" w:fill="FFFFFF" w:themeFill="background1"/>
      </w:tcPr>
    </w:tblStylePr>
    <w:tblStylePr w:type="firstCol">
      <w:tblPr/>
      <w:tcPr>
        <w:tcBorders>
          <w:top w:val="nil"/>
          <w:left w:val="nil"/>
          <w:bottom w:val="nil"/>
          <w:right w:val="single" w:sz="8" w:space="0" w:color="4F81BD" w:themeColor="accent1"/>
          <w:insideH w:val="nil"/>
          <w:insideV w:val="nil"/>
        </w:tcBorders>
        <w:shd w:val="clear" w:color="auto" w:fill="FFFFFF" w:themeFill="background1"/>
      </w:tcPr>
    </w:tblStylePr>
    <w:tblStylePr w:type="lastCol">
      <w:tblPr/>
      <w:tcPr>
        <w:tcBorders>
          <w:top w:val="nil"/>
          <w:left w:val="single" w:sz="8" w:space="0" w:color="4F81BD" w:themeColor="accent1"/>
          <w:bottom w:val="nil"/>
          <w:right w:val="nil"/>
          <w:insideH w:val="nil"/>
          <w:insideV w:val="nil"/>
        </w:tcBorders>
        <w:shd w:val="clear" w:color="auto" w:fill="FFFFFF" w:themeFill="background1"/>
      </w:tcPr>
    </w:tblStylePr>
    <w:tblStylePr w:type="band1Vert">
      <w:tblPr/>
      <w:tcPr>
        <w:tcBorders>
          <w:left w:val="nil"/>
          <w:right w:val="nil"/>
          <w:insideH w:val="nil"/>
          <w:insideV w:val="nil"/>
        </w:tcBorders>
        <w:shd w:val="clear" w:color="auto" w:fill="D3DFEE" w:themeFill="accent1" w:themeFillTint="3F"/>
      </w:tcPr>
    </w:tblStylePr>
    <w:tblStylePr w:type="band1Horz">
      <w:tblPr/>
      <w:tcPr>
        <w:tcBorders>
          <w:top w:val="nil"/>
          <w:bottom w:val="nil"/>
          <w:insideH w:val="nil"/>
          <w:insideV w:val="nil"/>
        </w:tcBorders>
        <w:shd w:val="clear" w:color="auto" w:fill="D3DFEE" w:themeFill="accent1" w:themeFillTint="3F"/>
      </w:tcPr>
    </w:tblStylePr>
    <w:tblStylePr w:type="nwCell">
      <w:tblPr/>
      <w:tcPr>
        <w:shd w:val="clear" w:color="auto" w:fill="FFFFFF" w:themeFill="background1"/>
      </w:tcPr>
    </w:tblStylePr>
    <w:tblStylePr w:type="swCell">
      <w:tblPr/>
      <w:tcPr>
        <w:tcBorders>
          <w:top w:val="nil"/>
        </w:tcBorders>
      </w:tcPr>
    </w:tblStylePr>
  </w:style>
  <w:style w:type="table" w:styleId="MediumList2-Accent2">
    <w:name w:val="Medium List 2 Accent 2"/>
    <w:basedOn w:val="TableNormal"/>
    <w:uiPriority w:val="66"/>
    <w:semiHidden/>
    <w:unhideWhenUsed/>
    <w:rsid w:val="00167B18"/>
    <w:pPr>
      <w:spacing w:after="0" w:line="240" w:lineRule="auto"/>
    </w:pPr>
    <w:rPr>
      <w:rFonts w:asciiTheme="majorHAnsi" w:eastAsiaTheme="majorEastAsia" w:hAnsiTheme="majorHAnsi" w:cstheme="majorBidi"/>
      <w:color w:val="000000" w:themeColor="text1"/>
    </w:rPr>
    <w:tblPr>
      <w:tblStyleRowBandSize w:val="1"/>
      <w:tblStyleColBandSize w:val="1"/>
      <w:tblBorders>
        <w:top w:val="single" w:sz="8" w:space="0" w:color="C0504D" w:themeColor="accent2"/>
        <w:left w:val="single" w:sz="8" w:space="0" w:color="C0504D" w:themeColor="accent2"/>
        <w:bottom w:val="single" w:sz="8" w:space="0" w:color="C0504D" w:themeColor="accent2"/>
        <w:right w:val="single" w:sz="8" w:space="0" w:color="C0504D" w:themeColor="accent2"/>
      </w:tblBorders>
    </w:tblPr>
    <w:tblStylePr w:type="firstRow">
      <w:rPr>
        <w:sz w:val="24"/>
        <w:szCs w:val="24"/>
      </w:rPr>
      <w:tblPr/>
      <w:tcPr>
        <w:tcBorders>
          <w:top w:val="nil"/>
          <w:left w:val="nil"/>
          <w:bottom w:val="single" w:sz="24" w:space="0" w:color="C0504D" w:themeColor="accent2"/>
          <w:right w:val="nil"/>
          <w:insideH w:val="nil"/>
          <w:insideV w:val="nil"/>
        </w:tcBorders>
        <w:shd w:val="clear" w:color="auto" w:fill="FFFFFF" w:themeFill="background1"/>
      </w:tcPr>
    </w:tblStylePr>
    <w:tblStylePr w:type="lastRow">
      <w:tblPr/>
      <w:tcPr>
        <w:tcBorders>
          <w:top w:val="single" w:sz="8" w:space="0" w:color="C0504D" w:themeColor="accent2"/>
          <w:left w:val="nil"/>
          <w:bottom w:val="nil"/>
          <w:right w:val="nil"/>
          <w:insideH w:val="nil"/>
          <w:insideV w:val="nil"/>
        </w:tcBorders>
        <w:shd w:val="clear" w:color="auto" w:fill="FFFFFF" w:themeFill="background1"/>
      </w:tcPr>
    </w:tblStylePr>
    <w:tblStylePr w:type="firstCol">
      <w:tblPr/>
      <w:tcPr>
        <w:tcBorders>
          <w:top w:val="nil"/>
          <w:left w:val="nil"/>
          <w:bottom w:val="nil"/>
          <w:right w:val="single" w:sz="8" w:space="0" w:color="C0504D" w:themeColor="accent2"/>
          <w:insideH w:val="nil"/>
          <w:insideV w:val="nil"/>
        </w:tcBorders>
        <w:shd w:val="clear" w:color="auto" w:fill="FFFFFF" w:themeFill="background1"/>
      </w:tcPr>
    </w:tblStylePr>
    <w:tblStylePr w:type="lastCol">
      <w:tblPr/>
      <w:tcPr>
        <w:tcBorders>
          <w:top w:val="nil"/>
          <w:left w:val="single" w:sz="8" w:space="0" w:color="C0504D" w:themeColor="accent2"/>
          <w:bottom w:val="nil"/>
          <w:right w:val="nil"/>
          <w:insideH w:val="nil"/>
          <w:insideV w:val="nil"/>
        </w:tcBorders>
        <w:shd w:val="clear" w:color="auto" w:fill="FFFFFF" w:themeFill="background1"/>
      </w:tcPr>
    </w:tblStylePr>
    <w:tblStylePr w:type="band1Vert">
      <w:tblPr/>
      <w:tcPr>
        <w:tcBorders>
          <w:left w:val="nil"/>
          <w:right w:val="nil"/>
          <w:insideH w:val="nil"/>
          <w:insideV w:val="nil"/>
        </w:tcBorders>
        <w:shd w:val="clear" w:color="auto" w:fill="EFD3D2" w:themeFill="accent2" w:themeFillTint="3F"/>
      </w:tcPr>
    </w:tblStylePr>
    <w:tblStylePr w:type="band1Horz">
      <w:tblPr/>
      <w:tcPr>
        <w:tcBorders>
          <w:top w:val="nil"/>
          <w:bottom w:val="nil"/>
          <w:insideH w:val="nil"/>
          <w:insideV w:val="nil"/>
        </w:tcBorders>
        <w:shd w:val="clear" w:color="auto" w:fill="EFD3D2" w:themeFill="accent2" w:themeFillTint="3F"/>
      </w:tcPr>
    </w:tblStylePr>
    <w:tblStylePr w:type="nwCell">
      <w:tblPr/>
      <w:tcPr>
        <w:shd w:val="clear" w:color="auto" w:fill="FFFFFF" w:themeFill="background1"/>
      </w:tcPr>
    </w:tblStylePr>
    <w:tblStylePr w:type="swCell">
      <w:tblPr/>
      <w:tcPr>
        <w:tcBorders>
          <w:top w:val="nil"/>
        </w:tcBorders>
      </w:tcPr>
    </w:tblStylePr>
  </w:style>
  <w:style w:type="table" w:styleId="MediumList2-Accent3">
    <w:name w:val="Medium List 2 Accent 3"/>
    <w:basedOn w:val="TableNormal"/>
    <w:uiPriority w:val="66"/>
    <w:semiHidden/>
    <w:unhideWhenUsed/>
    <w:rsid w:val="00167B18"/>
    <w:pPr>
      <w:spacing w:after="0" w:line="240" w:lineRule="auto"/>
    </w:pPr>
    <w:rPr>
      <w:rFonts w:asciiTheme="majorHAnsi" w:eastAsiaTheme="majorEastAsia" w:hAnsiTheme="majorHAnsi" w:cstheme="majorBidi"/>
      <w:color w:val="000000" w:themeColor="text1"/>
    </w:rPr>
    <w:tblPr>
      <w:tblStyleRowBandSize w:val="1"/>
      <w:tblStyleColBandSize w:val="1"/>
      <w:tblBorders>
        <w:top w:val="single" w:sz="8" w:space="0" w:color="9BBB59" w:themeColor="accent3"/>
        <w:left w:val="single" w:sz="8" w:space="0" w:color="9BBB59" w:themeColor="accent3"/>
        <w:bottom w:val="single" w:sz="8" w:space="0" w:color="9BBB59" w:themeColor="accent3"/>
        <w:right w:val="single" w:sz="8" w:space="0" w:color="9BBB59" w:themeColor="accent3"/>
      </w:tblBorders>
    </w:tblPr>
    <w:tblStylePr w:type="firstRow">
      <w:rPr>
        <w:sz w:val="24"/>
        <w:szCs w:val="24"/>
      </w:rPr>
      <w:tblPr/>
      <w:tcPr>
        <w:tcBorders>
          <w:top w:val="nil"/>
          <w:left w:val="nil"/>
          <w:bottom w:val="single" w:sz="24" w:space="0" w:color="9BBB59" w:themeColor="accent3"/>
          <w:right w:val="nil"/>
          <w:insideH w:val="nil"/>
          <w:insideV w:val="nil"/>
        </w:tcBorders>
        <w:shd w:val="clear" w:color="auto" w:fill="FFFFFF" w:themeFill="background1"/>
      </w:tcPr>
    </w:tblStylePr>
    <w:tblStylePr w:type="lastRow">
      <w:tblPr/>
      <w:tcPr>
        <w:tcBorders>
          <w:top w:val="single" w:sz="8" w:space="0" w:color="9BBB59" w:themeColor="accent3"/>
          <w:left w:val="nil"/>
          <w:bottom w:val="nil"/>
          <w:right w:val="nil"/>
          <w:insideH w:val="nil"/>
          <w:insideV w:val="nil"/>
        </w:tcBorders>
        <w:shd w:val="clear" w:color="auto" w:fill="FFFFFF" w:themeFill="background1"/>
      </w:tcPr>
    </w:tblStylePr>
    <w:tblStylePr w:type="firstCol">
      <w:tblPr/>
      <w:tcPr>
        <w:tcBorders>
          <w:top w:val="nil"/>
          <w:left w:val="nil"/>
          <w:bottom w:val="nil"/>
          <w:right w:val="single" w:sz="8" w:space="0" w:color="9BBB59" w:themeColor="accent3"/>
          <w:insideH w:val="nil"/>
          <w:insideV w:val="nil"/>
        </w:tcBorders>
        <w:shd w:val="clear" w:color="auto" w:fill="FFFFFF" w:themeFill="background1"/>
      </w:tcPr>
    </w:tblStylePr>
    <w:tblStylePr w:type="lastCol">
      <w:tblPr/>
      <w:tcPr>
        <w:tcBorders>
          <w:top w:val="nil"/>
          <w:left w:val="single" w:sz="8" w:space="0" w:color="9BBB59" w:themeColor="accent3"/>
          <w:bottom w:val="nil"/>
          <w:right w:val="nil"/>
          <w:insideH w:val="nil"/>
          <w:insideV w:val="nil"/>
        </w:tcBorders>
        <w:shd w:val="clear" w:color="auto" w:fill="FFFFFF" w:themeFill="background1"/>
      </w:tcPr>
    </w:tblStylePr>
    <w:tblStylePr w:type="band1Vert">
      <w:tblPr/>
      <w:tcPr>
        <w:tcBorders>
          <w:left w:val="nil"/>
          <w:right w:val="nil"/>
          <w:insideH w:val="nil"/>
          <w:insideV w:val="nil"/>
        </w:tcBorders>
        <w:shd w:val="clear" w:color="auto" w:fill="E6EED5" w:themeFill="accent3" w:themeFillTint="3F"/>
      </w:tcPr>
    </w:tblStylePr>
    <w:tblStylePr w:type="band1Horz">
      <w:tblPr/>
      <w:tcPr>
        <w:tcBorders>
          <w:top w:val="nil"/>
          <w:bottom w:val="nil"/>
          <w:insideH w:val="nil"/>
          <w:insideV w:val="nil"/>
        </w:tcBorders>
        <w:shd w:val="clear" w:color="auto" w:fill="E6EED5" w:themeFill="accent3" w:themeFillTint="3F"/>
      </w:tcPr>
    </w:tblStylePr>
    <w:tblStylePr w:type="nwCell">
      <w:tblPr/>
      <w:tcPr>
        <w:shd w:val="clear" w:color="auto" w:fill="FFFFFF" w:themeFill="background1"/>
      </w:tcPr>
    </w:tblStylePr>
    <w:tblStylePr w:type="swCell">
      <w:tblPr/>
      <w:tcPr>
        <w:tcBorders>
          <w:top w:val="nil"/>
        </w:tcBorders>
      </w:tcPr>
    </w:tblStylePr>
  </w:style>
  <w:style w:type="table" w:styleId="MediumList2-Accent4">
    <w:name w:val="Medium List 2 Accent 4"/>
    <w:basedOn w:val="TableNormal"/>
    <w:uiPriority w:val="66"/>
    <w:semiHidden/>
    <w:unhideWhenUsed/>
    <w:rsid w:val="00167B18"/>
    <w:pPr>
      <w:spacing w:after="0" w:line="240" w:lineRule="auto"/>
    </w:pPr>
    <w:rPr>
      <w:rFonts w:asciiTheme="majorHAnsi" w:eastAsiaTheme="majorEastAsia" w:hAnsiTheme="majorHAnsi" w:cstheme="majorBidi"/>
      <w:color w:val="000000" w:themeColor="text1"/>
    </w:rPr>
    <w:tblPr>
      <w:tblStyleRowBandSize w:val="1"/>
      <w:tblStyleColBandSize w:val="1"/>
      <w:tblBorders>
        <w:top w:val="single" w:sz="8" w:space="0" w:color="8064A2" w:themeColor="accent4"/>
        <w:left w:val="single" w:sz="8" w:space="0" w:color="8064A2" w:themeColor="accent4"/>
        <w:bottom w:val="single" w:sz="8" w:space="0" w:color="8064A2" w:themeColor="accent4"/>
        <w:right w:val="single" w:sz="8" w:space="0" w:color="8064A2" w:themeColor="accent4"/>
      </w:tblBorders>
    </w:tblPr>
    <w:tblStylePr w:type="firstRow">
      <w:rPr>
        <w:sz w:val="24"/>
        <w:szCs w:val="24"/>
      </w:rPr>
      <w:tblPr/>
      <w:tcPr>
        <w:tcBorders>
          <w:top w:val="nil"/>
          <w:left w:val="nil"/>
          <w:bottom w:val="single" w:sz="24" w:space="0" w:color="8064A2" w:themeColor="accent4"/>
          <w:right w:val="nil"/>
          <w:insideH w:val="nil"/>
          <w:insideV w:val="nil"/>
        </w:tcBorders>
        <w:shd w:val="clear" w:color="auto" w:fill="FFFFFF" w:themeFill="background1"/>
      </w:tcPr>
    </w:tblStylePr>
    <w:tblStylePr w:type="lastRow">
      <w:tblPr/>
      <w:tcPr>
        <w:tcBorders>
          <w:top w:val="single" w:sz="8" w:space="0" w:color="8064A2" w:themeColor="accent4"/>
          <w:left w:val="nil"/>
          <w:bottom w:val="nil"/>
          <w:right w:val="nil"/>
          <w:insideH w:val="nil"/>
          <w:insideV w:val="nil"/>
        </w:tcBorders>
        <w:shd w:val="clear" w:color="auto" w:fill="FFFFFF" w:themeFill="background1"/>
      </w:tcPr>
    </w:tblStylePr>
    <w:tblStylePr w:type="firstCol">
      <w:tblPr/>
      <w:tcPr>
        <w:tcBorders>
          <w:top w:val="nil"/>
          <w:left w:val="nil"/>
          <w:bottom w:val="nil"/>
          <w:right w:val="single" w:sz="8" w:space="0" w:color="8064A2" w:themeColor="accent4"/>
          <w:insideH w:val="nil"/>
          <w:insideV w:val="nil"/>
        </w:tcBorders>
        <w:shd w:val="clear" w:color="auto" w:fill="FFFFFF" w:themeFill="background1"/>
      </w:tcPr>
    </w:tblStylePr>
    <w:tblStylePr w:type="lastCol">
      <w:tblPr/>
      <w:tcPr>
        <w:tcBorders>
          <w:top w:val="nil"/>
          <w:left w:val="single" w:sz="8" w:space="0" w:color="8064A2" w:themeColor="accent4"/>
          <w:bottom w:val="nil"/>
          <w:right w:val="nil"/>
          <w:insideH w:val="nil"/>
          <w:insideV w:val="nil"/>
        </w:tcBorders>
        <w:shd w:val="clear" w:color="auto" w:fill="FFFFFF" w:themeFill="background1"/>
      </w:tcPr>
    </w:tblStylePr>
    <w:tblStylePr w:type="band1Vert">
      <w:tblPr/>
      <w:tcPr>
        <w:tcBorders>
          <w:left w:val="nil"/>
          <w:right w:val="nil"/>
          <w:insideH w:val="nil"/>
          <w:insideV w:val="nil"/>
        </w:tcBorders>
        <w:shd w:val="clear" w:color="auto" w:fill="DFD8E8" w:themeFill="accent4" w:themeFillTint="3F"/>
      </w:tcPr>
    </w:tblStylePr>
    <w:tblStylePr w:type="band1Horz">
      <w:tblPr/>
      <w:tcPr>
        <w:tcBorders>
          <w:top w:val="nil"/>
          <w:bottom w:val="nil"/>
          <w:insideH w:val="nil"/>
          <w:insideV w:val="nil"/>
        </w:tcBorders>
        <w:shd w:val="clear" w:color="auto" w:fill="DFD8E8" w:themeFill="accent4" w:themeFillTint="3F"/>
      </w:tcPr>
    </w:tblStylePr>
    <w:tblStylePr w:type="nwCell">
      <w:tblPr/>
      <w:tcPr>
        <w:shd w:val="clear" w:color="auto" w:fill="FFFFFF" w:themeFill="background1"/>
      </w:tcPr>
    </w:tblStylePr>
    <w:tblStylePr w:type="swCell">
      <w:tblPr/>
      <w:tcPr>
        <w:tcBorders>
          <w:top w:val="nil"/>
        </w:tcBorders>
      </w:tcPr>
    </w:tblStylePr>
  </w:style>
  <w:style w:type="table" w:styleId="MediumList2-Accent5">
    <w:name w:val="Medium List 2 Accent 5"/>
    <w:basedOn w:val="TableNormal"/>
    <w:uiPriority w:val="66"/>
    <w:semiHidden/>
    <w:unhideWhenUsed/>
    <w:rsid w:val="00167B18"/>
    <w:pPr>
      <w:spacing w:after="0" w:line="240" w:lineRule="auto"/>
    </w:pPr>
    <w:rPr>
      <w:rFonts w:asciiTheme="majorHAnsi" w:eastAsiaTheme="majorEastAsia" w:hAnsiTheme="majorHAnsi" w:cstheme="majorBidi"/>
      <w:color w:val="000000" w:themeColor="text1"/>
    </w:rPr>
    <w:tblPr>
      <w:tblStyleRowBandSize w:val="1"/>
      <w:tblStyleColBandSize w:val="1"/>
      <w:tblBorders>
        <w:top w:val="single" w:sz="8" w:space="0" w:color="4BACC6" w:themeColor="accent5"/>
        <w:left w:val="single" w:sz="8" w:space="0" w:color="4BACC6" w:themeColor="accent5"/>
        <w:bottom w:val="single" w:sz="8" w:space="0" w:color="4BACC6" w:themeColor="accent5"/>
        <w:right w:val="single" w:sz="8" w:space="0" w:color="4BACC6" w:themeColor="accent5"/>
      </w:tblBorders>
    </w:tblPr>
    <w:tblStylePr w:type="firstRow">
      <w:rPr>
        <w:sz w:val="24"/>
        <w:szCs w:val="24"/>
      </w:rPr>
      <w:tblPr/>
      <w:tcPr>
        <w:tcBorders>
          <w:top w:val="nil"/>
          <w:left w:val="nil"/>
          <w:bottom w:val="single" w:sz="24" w:space="0" w:color="4BACC6" w:themeColor="accent5"/>
          <w:right w:val="nil"/>
          <w:insideH w:val="nil"/>
          <w:insideV w:val="nil"/>
        </w:tcBorders>
        <w:shd w:val="clear" w:color="auto" w:fill="FFFFFF" w:themeFill="background1"/>
      </w:tcPr>
    </w:tblStylePr>
    <w:tblStylePr w:type="lastRow">
      <w:tblPr/>
      <w:tcPr>
        <w:tcBorders>
          <w:top w:val="single" w:sz="8" w:space="0" w:color="4BACC6" w:themeColor="accent5"/>
          <w:left w:val="nil"/>
          <w:bottom w:val="nil"/>
          <w:right w:val="nil"/>
          <w:insideH w:val="nil"/>
          <w:insideV w:val="nil"/>
        </w:tcBorders>
        <w:shd w:val="clear" w:color="auto" w:fill="FFFFFF" w:themeFill="background1"/>
      </w:tcPr>
    </w:tblStylePr>
    <w:tblStylePr w:type="firstCol">
      <w:tblPr/>
      <w:tcPr>
        <w:tcBorders>
          <w:top w:val="nil"/>
          <w:left w:val="nil"/>
          <w:bottom w:val="nil"/>
          <w:right w:val="single" w:sz="8" w:space="0" w:color="4BACC6" w:themeColor="accent5"/>
          <w:insideH w:val="nil"/>
          <w:insideV w:val="nil"/>
        </w:tcBorders>
        <w:shd w:val="clear" w:color="auto" w:fill="FFFFFF" w:themeFill="background1"/>
      </w:tcPr>
    </w:tblStylePr>
    <w:tblStylePr w:type="lastCol">
      <w:tblPr/>
      <w:tcPr>
        <w:tcBorders>
          <w:top w:val="nil"/>
          <w:left w:val="single" w:sz="8" w:space="0" w:color="4BACC6" w:themeColor="accent5"/>
          <w:bottom w:val="nil"/>
          <w:right w:val="nil"/>
          <w:insideH w:val="nil"/>
          <w:insideV w:val="nil"/>
        </w:tcBorders>
        <w:shd w:val="clear" w:color="auto" w:fill="FFFFFF" w:themeFill="background1"/>
      </w:tcPr>
    </w:tblStylePr>
    <w:tblStylePr w:type="band1Vert">
      <w:tblPr/>
      <w:tcPr>
        <w:tcBorders>
          <w:left w:val="nil"/>
          <w:right w:val="nil"/>
          <w:insideH w:val="nil"/>
          <w:insideV w:val="nil"/>
        </w:tcBorders>
        <w:shd w:val="clear" w:color="auto" w:fill="D2EAF1" w:themeFill="accent5" w:themeFillTint="3F"/>
      </w:tcPr>
    </w:tblStylePr>
    <w:tblStylePr w:type="band1Horz">
      <w:tblPr/>
      <w:tcPr>
        <w:tcBorders>
          <w:top w:val="nil"/>
          <w:bottom w:val="nil"/>
          <w:insideH w:val="nil"/>
          <w:insideV w:val="nil"/>
        </w:tcBorders>
        <w:shd w:val="clear" w:color="auto" w:fill="D2EAF1" w:themeFill="accent5" w:themeFillTint="3F"/>
      </w:tcPr>
    </w:tblStylePr>
    <w:tblStylePr w:type="nwCell">
      <w:tblPr/>
      <w:tcPr>
        <w:shd w:val="clear" w:color="auto" w:fill="FFFFFF" w:themeFill="background1"/>
      </w:tcPr>
    </w:tblStylePr>
    <w:tblStylePr w:type="swCell">
      <w:tblPr/>
      <w:tcPr>
        <w:tcBorders>
          <w:top w:val="nil"/>
        </w:tcBorders>
      </w:tcPr>
    </w:tblStylePr>
  </w:style>
  <w:style w:type="table" w:styleId="MediumList2-Accent6">
    <w:name w:val="Medium List 2 Accent 6"/>
    <w:basedOn w:val="TableNormal"/>
    <w:uiPriority w:val="66"/>
    <w:semiHidden/>
    <w:unhideWhenUsed/>
    <w:rsid w:val="00167B18"/>
    <w:pPr>
      <w:spacing w:after="0" w:line="240" w:lineRule="auto"/>
    </w:pPr>
    <w:rPr>
      <w:rFonts w:asciiTheme="majorHAnsi" w:eastAsiaTheme="majorEastAsia" w:hAnsiTheme="majorHAnsi" w:cstheme="majorBidi"/>
      <w:color w:val="000000" w:themeColor="text1"/>
    </w:rPr>
    <w:tblPr>
      <w:tblStyleRowBandSize w:val="1"/>
      <w:tblStyleColBandSize w:val="1"/>
      <w:tblBorders>
        <w:top w:val="single" w:sz="8" w:space="0" w:color="F79646" w:themeColor="accent6"/>
        <w:left w:val="single" w:sz="8" w:space="0" w:color="F79646" w:themeColor="accent6"/>
        <w:bottom w:val="single" w:sz="8" w:space="0" w:color="F79646" w:themeColor="accent6"/>
        <w:right w:val="single" w:sz="8" w:space="0" w:color="F79646" w:themeColor="accent6"/>
      </w:tblBorders>
    </w:tblPr>
    <w:tblStylePr w:type="firstRow">
      <w:rPr>
        <w:sz w:val="24"/>
        <w:szCs w:val="24"/>
      </w:rPr>
      <w:tblPr/>
      <w:tcPr>
        <w:tcBorders>
          <w:top w:val="nil"/>
          <w:left w:val="nil"/>
          <w:bottom w:val="single" w:sz="24" w:space="0" w:color="F79646" w:themeColor="accent6"/>
          <w:right w:val="nil"/>
          <w:insideH w:val="nil"/>
          <w:insideV w:val="nil"/>
        </w:tcBorders>
        <w:shd w:val="clear" w:color="auto" w:fill="FFFFFF" w:themeFill="background1"/>
      </w:tcPr>
    </w:tblStylePr>
    <w:tblStylePr w:type="lastRow">
      <w:tblPr/>
      <w:tcPr>
        <w:tcBorders>
          <w:top w:val="single" w:sz="8" w:space="0" w:color="F79646" w:themeColor="accent6"/>
          <w:left w:val="nil"/>
          <w:bottom w:val="nil"/>
          <w:right w:val="nil"/>
          <w:insideH w:val="nil"/>
          <w:insideV w:val="nil"/>
        </w:tcBorders>
        <w:shd w:val="clear" w:color="auto" w:fill="FFFFFF" w:themeFill="background1"/>
      </w:tcPr>
    </w:tblStylePr>
    <w:tblStylePr w:type="firstCol">
      <w:tblPr/>
      <w:tcPr>
        <w:tcBorders>
          <w:top w:val="nil"/>
          <w:left w:val="nil"/>
          <w:bottom w:val="nil"/>
          <w:right w:val="single" w:sz="8" w:space="0" w:color="F79646" w:themeColor="accent6"/>
          <w:insideH w:val="nil"/>
          <w:insideV w:val="nil"/>
        </w:tcBorders>
        <w:shd w:val="clear" w:color="auto" w:fill="FFFFFF" w:themeFill="background1"/>
      </w:tcPr>
    </w:tblStylePr>
    <w:tblStylePr w:type="lastCol">
      <w:tblPr/>
      <w:tcPr>
        <w:tcBorders>
          <w:top w:val="nil"/>
          <w:left w:val="single" w:sz="8" w:space="0" w:color="F79646" w:themeColor="accent6"/>
          <w:bottom w:val="nil"/>
          <w:right w:val="nil"/>
          <w:insideH w:val="nil"/>
          <w:insideV w:val="nil"/>
        </w:tcBorders>
        <w:shd w:val="clear" w:color="auto" w:fill="FFFFFF" w:themeFill="background1"/>
      </w:tcPr>
    </w:tblStylePr>
    <w:tblStylePr w:type="band1Vert">
      <w:tblPr/>
      <w:tcPr>
        <w:tcBorders>
          <w:left w:val="nil"/>
          <w:right w:val="nil"/>
          <w:insideH w:val="nil"/>
          <w:insideV w:val="nil"/>
        </w:tcBorders>
        <w:shd w:val="clear" w:color="auto" w:fill="FDE4D0" w:themeFill="accent6" w:themeFillTint="3F"/>
      </w:tcPr>
    </w:tblStylePr>
    <w:tblStylePr w:type="band1Horz">
      <w:tblPr/>
      <w:tcPr>
        <w:tcBorders>
          <w:top w:val="nil"/>
          <w:bottom w:val="nil"/>
          <w:insideH w:val="nil"/>
          <w:insideV w:val="nil"/>
        </w:tcBorders>
        <w:shd w:val="clear" w:color="auto" w:fill="FDE4D0" w:themeFill="accent6" w:themeFillTint="3F"/>
      </w:tcPr>
    </w:tblStylePr>
    <w:tblStylePr w:type="nwCell">
      <w:tblPr/>
      <w:tcPr>
        <w:shd w:val="clear" w:color="auto" w:fill="FFFFFF" w:themeFill="background1"/>
      </w:tcPr>
    </w:tblStylePr>
    <w:tblStylePr w:type="swCell">
      <w:tblPr/>
      <w:tcPr>
        <w:tcBorders>
          <w:top w:val="nil"/>
        </w:tcBorders>
      </w:tcPr>
    </w:tblStylePr>
  </w:style>
  <w:style w:type="table" w:styleId="MediumShading1">
    <w:name w:val="Medium Shading 1"/>
    <w:basedOn w:val="TableNormal"/>
    <w:uiPriority w:val="63"/>
    <w:semiHidden/>
    <w:unhideWhenUsed/>
    <w:rsid w:val="00167B18"/>
    <w:pPr>
      <w:spacing w:after="0" w:line="240" w:lineRule="auto"/>
    </w:pPr>
    <w:tblPr>
      <w:tblStyleRowBandSize w:val="1"/>
      <w:tblStyleColBandSize w:val="1"/>
      <w:tblBorders>
        <w:top w:val="single" w:sz="8" w:space="0" w:color="404040" w:themeColor="text1" w:themeTint="BF"/>
        <w:left w:val="single" w:sz="8" w:space="0" w:color="404040" w:themeColor="text1" w:themeTint="BF"/>
        <w:bottom w:val="single" w:sz="8" w:space="0" w:color="404040" w:themeColor="text1" w:themeTint="BF"/>
        <w:right w:val="single" w:sz="8" w:space="0" w:color="404040" w:themeColor="text1" w:themeTint="BF"/>
        <w:insideH w:val="single" w:sz="8" w:space="0" w:color="404040" w:themeColor="text1" w:themeTint="BF"/>
      </w:tblBorders>
    </w:tblPr>
    <w:tblStylePr w:type="firstRow">
      <w:pPr>
        <w:spacing w:before="0" w:after="0" w:line="240" w:lineRule="auto"/>
      </w:pPr>
      <w:rPr>
        <w:b/>
        <w:bCs/>
        <w:color w:val="FFFFFF" w:themeColor="background1"/>
      </w:rPr>
      <w:tblPr/>
      <w:tcPr>
        <w:tcBorders>
          <w:top w:val="single" w:sz="8" w:space="0" w:color="404040" w:themeColor="text1" w:themeTint="BF"/>
          <w:left w:val="single" w:sz="8" w:space="0" w:color="404040" w:themeColor="text1" w:themeTint="BF"/>
          <w:bottom w:val="single" w:sz="8" w:space="0" w:color="404040" w:themeColor="text1" w:themeTint="BF"/>
          <w:right w:val="single" w:sz="8" w:space="0" w:color="404040" w:themeColor="text1" w:themeTint="BF"/>
          <w:insideH w:val="nil"/>
          <w:insideV w:val="nil"/>
        </w:tcBorders>
        <w:shd w:val="clear" w:color="auto" w:fill="000000" w:themeFill="text1"/>
      </w:tcPr>
    </w:tblStylePr>
    <w:tblStylePr w:type="lastRow">
      <w:pPr>
        <w:spacing w:before="0" w:after="0" w:line="240" w:lineRule="auto"/>
      </w:pPr>
      <w:rPr>
        <w:b/>
        <w:bCs/>
      </w:rPr>
      <w:tblPr/>
      <w:tcPr>
        <w:tcBorders>
          <w:top w:val="double" w:sz="6" w:space="0" w:color="404040" w:themeColor="text1" w:themeTint="BF"/>
          <w:left w:val="single" w:sz="8" w:space="0" w:color="404040" w:themeColor="text1" w:themeTint="BF"/>
          <w:bottom w:val="single" w:sz="8" w:space="0" w:color="404040" w:themeColor="text1" w:themeTint="BF"/>
          <w:right w:val="single" w:sz="8" w:space="0" w:color="404040" w:themeColor="text1" w:themeTint="BF"/>
          <w:insideH w:val="nil"/>
          <w:insideV w:val="nil"/>
        </w:tcBorders>
      </w:tcPr>
    </w:tblStylePr>
    <w:tblStylePr w:type="firstCol">
      <w:rPr>
        <w:b/>
        <w:bCs/>
      </w:rPr>
    </w:tblStylePr>
    <w:tblStylePr w:type="lastCol">
      <w:rPr>
        <w:b/>
        <w:bCs/>
      </w:rPr>
    </w:tblStylePr>
    <w:tblStylePr w:type="band1Vert">
      <w:tblPr/>
      <w:tcPr>
        <w:shd w:val="clear" w:color="auto" w:fill="C0C0C0" w:themeFill="text1" w:themeFillTint="3F"/>
      </w:tcPr>
    </w:tblStylePr>
    <w:tblStylePr w:type="band1Horz">
      <w:tblPr/>
      <w:tcPr>
        <w:tcBorders>
          <w:insideH w:val="nil"/>
          <w:insideV w:val="nil"/>
        </w:tcBorders>
        <w:shd w:val="clear" w:color="auto" w:fill="C0C0C0" w:themeFill="text1" w:themeFillTint="3F"/>
      </w:tcPr>
    </w:tblStylePr>
    <w:tblStylePr w:type="band2Horz">
      <w:tblPr/>
      <w:tcPr>
        <w:tcBorders>
          <w:insideH w:val="nil"/>
          <w:insideV w:val="nil"/>
        </w:tcBorders>
      </w:tcPr>
    </w:tblStylePr>
  </w:style>
  <w:style w:type="table" w:styleId="MediumShading1-Accent1">
    <w:name w:val="Medium Shading 1 Accent 1"/>
    <w:basedOn w:val="TableNormal"/>
    <w:uiPriority w:val="63"/>
    <w:semiHidden/>
    <w:unhideWhenUsed/>
    <w:rsid w:val="00167B18"/>
    <w:pPr>
      <w:spacing w:after="0" w:line="240" w:lineRule="auto"/>
    </w:pPr>
    <w:tblPr>
      <w:tblStyleRowBandSize w:val="1"/>
      <w:tblStyleColBandSize w:val="1"/>
      <w:tblBorders>
        <w:top w:val="single" w:sz="8" w:space="0" w:color="7BA0CD" w:themeColor="accent1" w:themeTint="BF"/>
        <w:left w:val="single" w:sz="8" w:space="0" w:color="7BA0CD" w:themeColor="accent1" w:themeTint="BF"/>
        <w:bottom w:val="single" w:sz="8" w:space="0" w:color="7BA0CD" w:themeColor="accent1" w:themeTint="BF"/>
        <w:right w:val="single" w:sz="8" w:space="0" w:color="7BA0CD" w:themeColor="accent1" w:themeTint="BF"/>
        <w:insideH w:val="single" w:sz="8" w:space="0" w:color="7BA0CD" w:themeColor="accent1" w:themeTint="BF"/>
      </w:tblBorders>
    </w:tblPr>
    <w:tblStylePr w:type="firstRow">
      <w:pPr>
        <w:spacing w:before="0" w:after="0" w:line="240" w:lineRule="auto"/>
      </w:pPr>
      <w:rPr>
        <w:b/>
        <w:bCs/>
        <w:color w:val="FFFFFF" w:themeColor="background1"/>
      </w:rPr>
      <w:tblPr/>
      <w:tcPr>
        <w:tcBorders>
          <w:top w:val="single" w:sz="8" w:space="0" w:color="7BA0CD" w:themeColor="accent1" w:themeTint="BF"/>
          <w:left w:val="single" w:sz="8" w:space="0" w:color="7BA0CD" w:themeColor="accent1" w:themeTint="BF"/>
          <w:bottom w:val="single" w:sz="8" w:space="0" w:color="7BA0CD" w:themeColor="accent1" w:themeTint="BF"/>
          <w:right w:val="single" w:sz="8" w:space="0" w:color="7BA0CD" w:themeColor="accent1" w:themeTint="BF"/>
          <w:insideH w:val="nil"/>
          <w:insideV w:val="nil"/>
        </w:tcBorders>
        <w:shd w:val="clear" w:color="auto" w:fill="4F81BD" w:themeFill="accent1"/>
      </w:tcPr>
    </w:tblStylePr>
    <w:tblStylePr w:type="lastRow">
      <w:pPr>
        <w:spacing w:before="0" w:after="0" w:line="240" w:lineRule="auto"/>
      </w:pPr>
      <w:rPr>
        <w:b/>
        <w:bCs/>
      </w:rPr>
      <w:tblPr/>
      <w:tcPr>
        <w:tcBorders>
          <w:top w:val="double" w:sz="6" w:space="0" w:color="7BA0CD" w:themeColor="accent1" w:themeTint="BF"/>
          <w:left w:val="single" w:sz="8" w:space="0" w:color="7BA0CD" w:themeColor="accent1" w:themeTint="BF"/>
          <w:bottom w:val="single" w:sz="8" w:space="0" w:color="7BA0CD" w:themeColor="accent1" w:themeTint="BF"/>
          <w:right w:val="single" w:sz="8" w:space="0" w:color="7BA0CD" w:themeColor="accent1" w:themeTint="BF"/>
          <w:insideH w:val="nil"/>
          <w:insideV w:val="nil"/>
        </w:tcBorders>
      </w:tcPr>
    </w:tblStylePr>
    <w:tblStylePr w:type="firstCol">
      <w:rPr>
        <w:b/>
        <w:bCs/>
      </w:rPr>
    </w:tblStylePr>
    <w:tblStylePr w:type="lastCol">
      <w:rPr>
        <w:b/>
        <w:bCs/>
      </w:rPr>
    </w:tblStylePr>
    <w:tblStylePr w:type="band1Vert">
      <w:tblPr/>
      <w:tcPr>
        <w:shd w:val="clear" w:color="auto" w:fill="D3DFEE" w:themeFill="accent1" w:themeFillTint="3F"/>
      </w:tcPr>
    </w:tblStylePr>
    <w:tblStylePr w:type="band1Horz">
      <w:tblPr/>
      <w:tcPr>
        <w:tcBorders>
          <w:insideH w:val="nil"/>
          <w:insideV w:val="nil"/>
        </w:tcBorders>
        <w:shd w:val="clear" w:color="auto" w:fill="D3DFEE" w:themeFill="accent1" w:themeFillTint="3F"/>
      </w:tcPr>
    </w:tblStylePr>
    <w:tblStylePr w:type="band2Horz">
      <w:tblPr/>
      <w:tcPr>
        <w:tcBorders>
          <w:insideH w:val="nil"/>
          <w:insideV w:val="nil"/>
        </w:tcBorders>
      </w:tcPr>
    </w:tblStylePr>
  </w:style>
  <w:style w:type="table" w:styleId="MediumShading1-Accent2">
    <w:name w:val="Medium Shading 1 Accent 2"/>
    <w:basedOn w:val="TableNormal"/>
    <w:uiPriority w:val="63"/>
    <w:semiHidden/>
    <w:unhideWhenUsed/>
    <w:rsid w:val="00167B18"/>
    <w:pPr>
      <w:spacing w:after="0" w:line="240" w:lineRule="auto"/>
    </w:pPr>
    <w:tblPr>
      <w:tblStyleRowBandSize w:val="1"/>
      <w:tblStyleColBandSize w:val="1"/>
      <w:tblBorders>
        <w:top w:val="single" w:sz="8" w:space="0" w:color="CF7B79" w:themeColor="accent2" w:themeTint="BF"/>
        <w:left w:val="single" w:sz="8" w:space="0" w:color="CF7B79" w:themeColor="accent2" w:themeTint="BF"/>
        <w:bottom w:val="single" w:sz="8" w:space="0" w:color="CF7B79" w:themeColor="accent2" w:themeTint="BF"/>
        <w:right w:val="single" w:sz="8" w:space="0" w:color="CF7B79" w:themeColor="accent2" w:themeTint="BF"/>
        <w:insideH w:val="single" w:sz="8" w:space="0" w:color="CF7B79" w:themeColor="accent2" w:themeTint="BF"/>
      </w:tblBorders>
    </w:tblPr>
    <w:tblStylePr w:type="firstRow">
      <w:pPr>
        <w:spacing w:before="0" w:after="0" w:line="240" w:lineRule="auto"/>
      </w:pPr>
      <w:rPr>
        <w:b/>
        <w:bCs/>
        <w:color w:val="FFFFFF" w:themeColor="background1"/>
      </w:rPr>
      <w:tblPr/>
      <w:tcPr>
        <w:tcBorders>
          <w:top w:val="single" w:sz="8" w:space="0" w:color="CF7B79" w:themeColor="accent2" w:themeTint="BF"/>
          <w:left w:val="single" w:sz="8" w:space="0" w:color="CF7B79" w:themeColor="accent2" w:themeTint="BF"/>
          <w:bottom w:val="single" w:sz="8" w:space="0" w:color="CF7B79" w:themeColor="accent2" w:themeTint="BF"/>
          <w:right w:val="single" w:sz="8" w:space="0" w:color="CF7B79" w:themeColor="accent2" w:themeTint="BF"/>
          <w:insideH w:val="nil"/>
          <w:insideV w:val="nil"/>
        </w:tcBorders>
        <w:shd w:val="clear" w:color="auto" w:fill="C0504D" w:themeFill="accent2"/>
      </w:tcPr>
    </w:tblStylePr>
    <w:tblStylePr w:type="lastRow">
      <w:pPr>
        <w:spacing w:before="0" w:after="0" w:line="240" w:lineRule="auto"/>
      </w:pPr>
      <w:rPr>
        <w:b/>
        <w:bCs/>
      </w:rPr>
      <w:tblPr/>
      <w:tcPr>
        <w:tcBorders>
          <w:top w:val="double" w:sz="6" w:space="0" w:color="CF7B79" w:themeColor="accent2" w:themeTint="BF"/>
          <w:left w:val="single" w:sz="8" w:space="0" w:color="CF7B79" w:themeColor="accent2" w:themeTint="BF"/>
          <w:bottom w:val="single" w:sz="8" w:space="0" w:color="CF7B79" w:themeColor="accent2" w:themeTint="BF"/>
          <w:right w:val="single" w:sz="8" w:space="0" w:color="CF7B79" w:themeColor="accent2" w:themeTint="BF"/>
          <w:insideH w:val="nil"/>
          <w:insideV w:val="nil"/>
        </w:tcBorders>
      </w:tcPr>
    </w:tblStylePr>
    <w:tblStylePr w:type="firstCol">
      <w:rPr>
        <w:b/>
        <w:bCs/>
      </w:rPr>
    </w:tblStylePr>
    <w:tblStylePr w:type="lastCol">
      <w:rPr>
        <w:b/>
        <w:bCs/>
      </w:rPr>
    </w:tblStylePr>
    <w:tblStylePr w:type="band1Vert">
      <w:tblPr/>
      <w:tcPr>
        <w:shd w:val="clear" w:color="auto" w:fill="EFD3D2" w:themeFill="accent2" w:themeFillTint="3F"/>
      </w:tcPr>
    </w:tblStylePr>
    <w:tblStylePr w:type="band1Horz">
      <w:tblPr/>
      <w:tcPr>
        <w:tcBorders>
          <w:insideH w:val="nil"/>
          <w:insideV w:val="nil"/>
        </w:tcBorders>
        <w:shd w:val="clear" w:color="auto" w:fill="EFD3D2" w:themeFill="accent2" w:themeFillTint="3F"/>
      </w:tcPr>
    </w:tblStylePr>
    <w:tblStylePr w:type="band2Horz">
      <w:tblPr/>
      <w:tcPr>
        <w:tcBorders>
          <w:insideH w:val="nil"/>
          <w:insideV w:val="nil"/>
        </w:tcBorders>
      </w:tcPr>
    </w:tblStylePr>
  </w:style>
  <w:style w:type="table" w:styleId="MediumShading1-Accent3">
    <w:name w:val="Medium Shading 1 Accent 3"/>
    <w:basedOn w:val="TableNormal"/>
    <w:uiPriority w:val="63"/>
    <w:semiHidden/>
    <w:unhideWhenUsed/>
    <w:rsid w:val="00167B18"/>
    <w:pPr>
      <w:spacing w:after="0" w:line="240" w:lineRule="auto"/>
    </w:pPr>
    <w:tblPr>
      <w:tblStyleRowBandSize w:val="1"/>
      <w:tblStyleColBandSize w:val="1"/>
      <w:tblBorders>
        <w:top w:val="single" w:sz="8" w:space="0" w:color="B3CC82" w:themeColor="accent3" w:themeTint="BF"/>
        <w:left w:val="single" w:sz="8" w:space="0" w:color="B3CC82" w:themeColor="accent3" w:themeTint="BF"/>
        <w:bottom w:val="single" w:sz="8" w:space="0" w:color="B3CC82" w:themeColor="accent3" w:themeTint="BF"/>
        <w:right w:val="single" w:sz="8" w:space="0" w:color="B3CC82" w:themeColor="accent3" w:themeTint="BF"/>
        <w:insideH w:val="single" w:sz="8" w:space="0" w:color="B3CC82" w:themeColor="accent3" w:themeTint="BF"/>
      </w:tblBorders>
    </w:tblPr>
    <w:tblStylePr w:type="firstRow">
      <w:pPr>
        <w:spacing w:before="0" w:after="0" w:line="240" w:lineRule="auto"/>
      </w:pPr>
      <w:rPr>
        <w:b/>
        <w:bCs/>
        <w:color w:val="FFFFFF" w:themeColor="background1"/>
      </w:rPr>
      <w:tblPr/>
      <w:tcPr>
        <w:tcBorders>
          <w:top w:val="single" w:sz="8" w:space="0" w:color="B3CC82" w:themeColor="accent3" w:themeTint="BF"/>
          <w:left w:val="single" w:sz="8" w:space="0" w:color="B3CC82" w:themeColor="accent3" w:themeTint="BF"/>
          <w:bottom w:val="single" w:sz="8" w:space="0" w:color="B3CC82" w:themeColor="accent3" w:themeTint="BF"/>
          <w:right w:val="single" w:sz="8" w:space="0" w:color="B3CC82" w:themeColor="accent3" w:themeTint="BF"/>
          <w:insideH w:val="nil"/>
          <w:insideV w:val="nil"/>
        </w:tcBorders>
        <w:shd w:val="clear" w:color="auto" w:fill="9BBB59" w:themeFill="accent3"/>
      </w:tcPr>
    </w:tblStylePr>
    <w:tblStylePr w:type="lastRow">
      <w:pPr>
        <w:spacing w:before="0" w:after="0" w:line="240" w:lineRule="auto"/>
      </w:pPr>
      <w:rPr>
        <w:b/>
        <w:bCs/>
      </w:rPr>
      <w:tblPr/>
      <w:tcPr>
        <w:tcBorders>
          <w:top w:val="double" w:sz="6" w:space="0" w:color="B3CC82" w:themeColor="accent3" w:themeTint="BF"/>
          <w:left w:val="single" w:sz="8" w:space="0" w:color="B3CC82" w:themeColor="accent3" w:themeTint="BF"/>
          <w:bottom w:val="single" w:sz="8" w:space="0" w:color="B3CC82" w:themeColor="accent3" w:themeTint="BF"/>
          <w:right w:val="single" w:sz="8" w:space="0" w:color="B3CC82" w:themeColor="accent3" w:themeTint="BF"/>
          <w:insideH w:val="nil"/>
          <w:insideV w:val="nil"/>
        </w:tcBorders>
      </w:tcPr>
    </w:tblStylePr>
    <w:tblStylePr w:type="firstCol">
      <w:rPr>
        <w:b/>
        <w:bCs/>
      </w:rPr>
    </w:tblStylePr>
    <w:tblStylePr w:type="lastCol">
      <w:rPr>
        <w:b/>
        <w:bCs/>
      </w:rPr>
    </w:tblStylePr>
    <w:tblStylePr w:type="band1Vert">
      <w:tblPr/>
      <w:tcPr>
        <w:shd w:val="clear" w:color="auto" w:fill="E6EED5" w:themeFill="accent3" w:themeFillTint="3F"/>
      </w:tcPr>
    </w:tblStylePr>
    <w:tblStylePr w:type="band1Horz">
      <w:tblPr/>
      <w:tcPr>
        <w:tcBorders>
          <w:insideH w:val="nil"/>
          <w:insideV w:val="nil"/>
        </w:tcBorders>
        <w:shd w:val="clear" w:color="auto" w:fill="E6EED5" w:themeFill="accent3" w:themeFillTint="3F"/>
      </w:tcPr>
    </w:tblStylePr>
    <w:tblStylePr w:type="band2Horz">
      <w:tblPr/>
      <w:tcPr>
        <w:tcBorders>
          <w:insideH w:val="nil"/>
          <w:insideV w:val="nil"/>
        </w:tcBorders>
      </w:tcPr>
    </w:tblStylePr>
  </w:style>
  <w:style w:type="table" w:styleId="MediumShading1-Accent4">
    <w:name w:val="Medium Shading 1 Accent 4"/>
    <w:basedOn w:val="TableNormal"/>
    <w:uiPriority w:val="63"/>
    <w:semiHidden/>
    <w:unhideWhenUsed/>
    <w:rsid w:val="00167B18"/>
    <w:pPr>
      <w:spacing w:after="0" w:line="240" w:lineRule="auto"/>
    </w:pPr>
    <w:tblPr>
      <w:tblStyleRowBandSize w:val="1"/>
      <w:tblStyleColBandSize w:val="1"/>
      <w:tblBorders>
        <w:top w:val="single" w:sz="8" w:space="0" w:color="9F8AB9" w:themeColor="accent4" w:themeTint="BF"/>
        <w:left w:val="single" w:sz="8" w:space="0" w:color="9F8AB9" w:themeColor="accent4" w:themeTint="BF"/>
        <w:bottom w:val="single" w:sz="8" w:space="0" w:color="9F8AB9" w:themeColor="accent4" w:themeTint="BF"/>
        <w:right w:val="single" w:sz="8" w:space="0" w:color="9F8AB9" w:themeColor="accent4" w:themeTint="BF"/>
        <w:insideH w:val="single" w:sz="8" w:space="0" w:color="9F8AB9" w:themeColor="accent4" w:themeTint="BF"/>
      </w:tblBorders>
    </w:tblPr>
    <w:tblStylePr w:type="firstRow">
      <w:pPr>
        <w:spacing w:before="0" w:after="0" w:line="240" w:lineRule="auto"/>
      </w:pPr>
      <w:rPr>
        <w:b/>
        <w:bCs/>
        <w:color w:val="FFFFFF" w:themeColor="background1"/>
      </w:rPr>
      <w:tblPr/>
      <w:tcPr>
        <w:tcBorders>
          <w:top w:val="single" w:sz="8" w:space="0" w:color="9F8AB9" w:themeColor="accent4" w:themeTint="BF"/>
          <w:left w:val="single" w:sz="8" w:space="0" w:color="9F8AB9" w:themeColor="accent4" w:themeTint="BF"/>
          <w:bottom w:val="single" w:sz="8" w:space="0" w:color="9F8AB9" w:themeColor="accent4" w:themeTint="BF"/>
          <w:right w:val="single" w:sz="8" w:space="0" w:color="9F8AB9" w:themeColor="accent4" w:themeTint="BF"/>
          <w:insideH w:val="nil"/>
          <w:insideV w:val="nil"/>
        </w:tcBorders>
        <w:shd w:val="clear" w:color="auto" w:fill="8064A2" w:themeFill="accent4"/>
      </w:tcPr>
    </w:tblStylePr>
    <w:tblStylePr w:type="lastRow">
      <w:pPr>
        <w:spacing w:before="0" w:after="0" w:line="240" w:lineRule="auto"/>
      </w:pPr>
      <w:rPr>
        <w:b/>
        <w:bCs/>
      </w:rPr>
      <w:tblPr/>
      <w:tcPr>
        <w:tcBorders>
          <w:top w:val="double" w:sz="6" w:space="0" w:color="9F8AB9" w:themeColor="accent4" w:themeTint="BF"/>
          <w:left w:val="single" w:sz="8" w:space="0" w:color="9F8AB9" w:themeColor="accent4" w:themeTint="BF"/>
          <w:bottom w:val="single" w:sz="8" w:space="0" w:color="9F8AB9" w:themeColor="accent4" w:themeTint="BF"/>
          <w:right w:val="single" w:sz="8" w:space="0" w:color="9F8AB9" w:themeColor="accent4" w:themeTint="BF"/>
          <w:insideH w:val="nil"/>
          <w:insideV w:val="nil"/>
        </w:tcBorders>
      </w:tcPr>
    </w:tblStylePr>
    <w:tblStylePr w:type="firstCol">
      <w:rPr>
        <w:b/>
        <w:bCs/>
      </w:rPr>
    </w:tblStylePr>
    <w:tblStylePr w:type="lastCol">
      <w:rPr>
        <w:b/>
        <w:bCs/>
      </w:rPr>
    </w:tblStylePr>
    <w:tblStylePr w:type="band1Vert">
      <w:tblPr/>
      <w:tcPr>
        <w:shd w:val="clear" w:color="auto" w:fill="DFD8E8" w:themeFill="accent4" w:themeFillTint="3F"/>
      </w:tcPr>
    </w:tblStylePr>
    <w:tblStylePr w:type="band1Horz">
      <w:tblPr/>
      <w:tcPr>
        <w:tcBorders>
          <w:insideH w:val="nil"/>
          <w:insideV w:val="nil"/>
        </w:tcBorders>
        <w:shd w:val="clear" w:color="auto" w:fill="DFD8E8" w:themeFill="accent4" w:themeFillTint="3F"/>
      </w:tcPr>
    </w:tblStylePr>
    <w:tblStylePr w:type="band2Horz">
      <w:tblPr/>
      <w:tcPr>
        <w:tcBorders>
          <w:insideH w:val="nil"/>
          <w:insideV w:val="nil"/>
        </w:tcBorders>
      </w:tcPr>
    </w:tblStylePr>
  </w:style>
  <w:style w:type="table" w:styleId="MediumShading1-Accent5">
    <w:name w:val="Medium Shading 1 Accent 5"/>
    <w:basedOn w:val="TableNormal"/>
    <w:uiPriority w:val="63"/>
    <w:semiHidden/>
    <w:unhideWhenUsed/>
    <w:rsid w:val="00167B18"/>
    <w:pPr>
      <w:spacing w:after="0" w:line="240" w:lineRule="auto"/>
    </w:pPr>
    <w:tblPr>
      <w:tblStyleRowBandSize w:val="1"/>
      <w:tblStyleColBandSize w:val="1"/>
      <w:tblBorders>
        <w:top w:val="single" w:sz="8" w:space="0" w:color="78C0D4" w:themeColor="accent5" w:themeTint="BF"/>
        <w:left w:val="single" w:sz="8" w:space="0" w:color="78C0D4" w:themeColor="accent5" w:themeTint="BF"/>
        <w:bottom w:val="single" w:sz="8" w:space="0" w:color="78C0D4" w:themeColor="accent5" w:themeTint="BF"/>
        <w:right w:val="single" w:sz="8" w:space="0" w:color="78C0D4" w:themeColor="accent5" w:themeTint="BF"/>
        <w:insideH w:val="single" w:sz="8" w:space="0" w:color="78C0D4" w:themeColor="accent5" w:themeTint="BF"/>
      </w:tblBorders>
    </w:tblPr>
    <w:tblStylePr w:type="firstRow">
      <w:pPr>
        <w:spacing w:before="0" w:after="0" w:line="240" w:lineRule="auto"/>
      </w:pPr>
      <w:rPr>
        <w:b/>
        <w:bCs/>
        <w:color w:val="FFFFFF" w:themeColor="background1"/>
      </w:rPr>
      <w:tblPr/>
      <w:tcPr>
        <w:tcBorders>
          <w:top w:val="single" w:sz="8" w:space="0" w:color="78C0D4" w:themeColor="accent5" w:themeTint="BF"/>
          <w:left w:val="single" w:sz="8" w:space="0" w:color="78C0D4" w:themeColor="accent5" w:themeTint="BF"/>
          <w:bottom w:val="single" w:sz="8" w:space="0" w:color="78C0D4" w:themeColor="accent5" w:themeTint="BF"/>
          <w:right w:val="single" w:sz="8" w:space="0" w:color="78C0D4" w:themeColor="accent5" w:themeTint="BF"/>
          <w:insideH w:val="nil"/>
          <w:insideV w:val="nil"/>
        </w:tcBorders>
        <w:shd w:val="clear" w:color="auto" w:fill="4BACC6" w:themeFill="accent5"/>
      </w:tcPr>
    </w:tblStylePr>
    <w:tblStylePr w:type="lastRow">
      <w:pPr>
        <w:spacing w:before="0" w:after="0" w:line="240" w:lineRule="auto"/>
      </w:pPr>
      <w:rPr>
        <w:b/>
        <w:bCs/>
      </w:rPr>
      <w:tblPr/>
      <w:tcPr>
        <w:tcBorders>
          <w:top w:val="double" w:sz="6" w:space="0" w:color="78C0D4" w:themeColor="accent5" w:themeTint="BF"/>
          <w:left w:val="single" w:sz="8" w:space="0" w:color="78C0D4" w:themeColor="accent5" w:themeTint="BF"/>
          <w:bottom w:val="single" w:sz="8" w:space="0" w:color="78C0D4" w:themeColor="accent5" w:themeTint="BF"/>
          <w:right w:val="single" w:sz="8" w:space="0" w:color="78C0D4" w:themeColor="accent5" w:themeTint="BF"/>
          <w:insideH w:val="nil"/>
          <w:insideV w:val="nil"/>
        </w:tcBorders>
      </w:tcPr>
    </w:tblStylePr>
    <w:tblStylePr w:type="firstCol">
      <w:rPr>
        <w:b/>
        <w:bCs/>
      </w:rPr>
    </w:tblStylePr>
    <w:tblStylePr w:type="lastCol">
      <w:rPr>
        <w:b/>
        <w:bCs/>
      </w:rPr>
    </w:tblStylePr>
    <w:tblStylePr w:type="band1Vert">
      <w:tblPr/>
      <w:tcPr>
        <w:shd w:val="clear" w:color="auto" w:fill="D2EAF1" w:themeFill="accent5" w:themeFillTint="3F"/>
      </w:tcPr>
    </w:tblStylePr>
    <w:tblStylePr w:type="band1Horz">
      <w:tblPr/>
      <w:tcPr>
        <w:tcBorders>
          <w:insideH w:val="nil"/>
          <w:insideV w:val="nil"/>
        </w:tcBorders>
        <w:shd w:val="clear" w:color="auto" w:fill="D2EAF1" w:themeFill="accent5" w:themeFillTint="3F"/>
      </w:tcPr>
    </w:tblStylePr>
    <w:tblStylePr w:type="band2Horz">
      <w:tblPr/>
      <w:tcPr>
        <w:tcBorders>
          <w:insideH w:val="nil"/>
          <w:insideV w:val="nil"/>
        </w:tcBorders>
      </w:tcPr>
    </w:tblStylePr>
  </w:style>
  <w:style w:type="table" w:styleId="MediumShading1-Accent6">
    <w:name w:val="Medium Shading 1 Accent 6"/>
    <w:basedOn w:val="TableNormal"/>
    <w:uiPriority w:val="63"/>
    <w:semiHidden/>
    <w:unhideWhenUsed/>
    <w:rsid w:val="00167B18"/>
    <w:pPr>
      <w:spacing w:after="0" w:line="240" w:lineRule="auto"/>
    </w:pPr>
    <w:tblPr>
      <w:tblStyleRowBandSize w:val="1"/>
      <w:tblStyleColBandSize w:val="1"/>
      <w:tblBorders>
        <w:top w:val="single" w:sz="8" w:space="0" w:color="F9B074" w:themeColor="accent6" w:themeTint="BF"/>
        <w:left w:val="single" w:sz="8" w:space="0" w:color="F9B074" w:themeColor="accent6" w:themeTint="BF"/>
        <w:bottom w:val="single" w:sz="8" w:space="0" w:color="F9B074" w:themeColor="accent6" w:themeTint="BF"/>
        <w:right w:val="single" w:sz="8" w:space="0" w:color="F9B074" w:themeColor="accent6" w:themeTint="BF"/>
        <w:insideH w:val="single" w:sz="8" w:space="0" w:color="F9B074" w:themeColor="accent6" w:themeTint="BF"/>
      </w:tblBorders>
    </w:tblPr>
    <w:tblStylePr w:type="firstRow">
      <w:pPr>
        <w:spacing w:before="0" w:after="0" w:line="240" w:lineRule="auto"/>
      </w:pPr>
      <w:rPr>
        <w:b/>
        <w:bCs/>
        <w:color w:val="FFFFFF" w:themeColor="background1"/>
      </w:rPr>
      <w:tblPr/>
      <w:tcPr>
        <w:tcBorders>
          <w:top w:val="single" w:sz="8" w:space="0" w:color="F9B074" w:themeColor="accent6" w:themeTint="BF"/>
          <w:left w:val="single" w:sz="8" w:space="0" w:color="F9B074" w:themeColor="accent6" w:themeTint="BF"/>
          <w:bottom w:val="single" w:sz="8" w:space="0" w:color="F9B074" w:themeColor="accent6" w:themeTint="BF"/>
          <w:right w:val="single" w:sz="8" w:space="0" w:color="F9B074" w:themeColor="accent6" w:themeTint="BF"/>
          <w:insideH w:val="nil"/>
          <w:insideV w:val="nil"/>
        </w:tcBorders>
        <w:shd w:val="clear" w:color="auto" w:fill="F79646" w:themeFill="accent6"/>
      </w:tcPr>
    </w:tblStylePr>
    <w:tblStylePr w:type="lastRow">
      <w:pPr>
        <w:spacing w:before="0" w:after="0" w:line="240" w:lineRule="auto"/>
      </w:pPr>
      <w:rPr>
        <w:b/>
        <w:bCs/>
      </w:rPr>
      <w:tblPr/>
      <w:tcPr>
        <w:tcBorders>
          <w:top w:val="double" w:sz="6" w:space="0" w:color="F9B074" w:themeColor="accent6" w:themeTint="BF"/>
          <w:left w:val="single" w:sz="8" w:space="0" w:color="F9B074" w:themeColor="accent6" w:themeTint="BF"/>
          <w:bottom w:val="single" w:sz="8" w:space="0" w:color="F9B074" w:themeColor="accent6" w:themeTint="BF"/>
          <w:right w:val="single" w:sz="8" w:space="0" w:color="F9B074" w:themeColor="accent6" w:themeTint="BF"/>
          <w:insideH w:val="nil"/>
          <w:insideV w:val="nil"/>
        </w:tcBorders>
      </w:tcPr>
    </w:tblStylePr>
    <w:tblStylePr w:type="firstCol">
      <w:rPr>
        <w:b/>
        <w:bCs/>
      </w:rPr>
    </w:tblStylePr>
    <w:tblStylePr w:type="lastCol">
      <w:rPr>
        <w:b/>
        <w:bCs/>
      </w:rPr>
    </w:tblStylePr>
    <w:tblStylePr w:type="band1Vert">
      <w:tblPr/>
      <w:tcPr>
        <w:shd w:val="clear" w:color="auto" w:fill="FDE4D0" w:themeFill="accent6" w:themeFillTint="3F"/>
      </w:tcPr>
    </w:tblStylePr>
    <w:tblStylePr w:type="band1Horz">
      <w:tblPr/>
      <w:tcPr>
        <w:tcBorders>
          <w:insideH w:val="nil"/>
          <w:insideV w:val="nil"/>
        </w:tcBorders>
        <w:shd w:val="clear" w:color="auto" w:fill="FDE4D0" w:themeFill="accent6" w:themeFillTint="3F"/>
      </w:tcPr>
    </w:tblStylePr>
    <w:tblStylePr w:type="band2Horz">
      <w:tblPr/>
      <w:tcPr>
        <w:tcBorders>
          <w:insideH w:val="nil"/>
          <w:insideV w:val="nil"/>
        </w:tcBorders>
      </w:tcPr>
    </w:tblStylePr>
  </w:style>
  <w:style w:type="table" w:styleId="MediumShading2">
    <w:name w:val="Medium Shading 2"/>
    <w:basedOn w:val="TableNormal"/>
    <w:uiPriority w:val="64"/>
    <w:semiHidden/>
    <w:unhideWhenUsed/>
    <w:rsid w:val="00167B18"/>
    <w:pPr>
      <w:spacing w:after="0" w:line="240" w:lineRule="auto"/>
    </w:pPr>
    <w:tblPr>
      <w:tblStyleRowBandSize w:val="1"/>
      <w:tblStyleColBandSize w:val="1"/>
      <w:tblBorders>
        <w:top w:val="single" w:sz="18" w:space="0" w:color="auto"/>
        <w:bottom w:val="single" w:sz="18" w:space="0" w:color="auto"/>
      </w:tblBorders>
    </w:tblPr>
    <w:tblStylePr w:type="firstRow">
      <w:pPr>
        <w:spacing w:before="0" w:after="0" w:line="240" w:lineRule="auto"/>
      </w:pPr>
      <w:rPr>
        <w:b/>
        <w:bCs/>
        <w:color w:val="FFFFFF" w:themeColor="background1"/>
      </w:rPr>
      <w:tblPr/>
      <w:tcPr>
        <w:tcBorders>
          <w:top w:val="single" w:sz="18" w:space="0" w:color="auto"/>
          <w:left w:val="nil"/>
          <w:bottom w:val="single" w:sz="18" w:space="0" w:color="auto"/>
          <w:right w:val="nil"/>
          <w:insideH w:val="nil"/>
          <w:insideV w:val="nil"/>
        </w:tcBorders>
        <w:shd w:val="clear" w:color="auto" w:fill="000000" w:themeFill="text1"/>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hemeFill="background1"/>
      </w:tcPr>
    </w:tblStylePr>
    <w:tblStylePr w:type="firstCol">
      <w:rPr>
        <w:b/>
        <w:bCs/>
        <w:color w:val="FFFFFF" w:themeColor="background1"/>
      </w:rPr>
      <w:tblPr/>
      <w:tcPr>
        <w:tcBorders>
          <w:top w:val="nil"/>
          <w:left w:val="nil"/>
          <w:bottom w:val="single" w:sz="18" w:space="0" w:color="auto"/>
          <w:right w:val="nil"/>
          <w:insideH w:val="nil"/>
          <w:insideV w:val="nil"/>
        </w:tcBorders>
        <w:shd w:val="clear" w:color="auto" w:fill="000000" w:themeFill="text1"/>
      </w:tcPr>
    </w:tblStylePr>
    <w:tblStylePr w:type="lastCol">
      <w:rPr>
        <w:b/>
        <w:bCs/>
        <w:color w:val="FFFFFF" w:themeColor="background1"/>
      </w:rPr>
      <w:tblPr/>
      <w:tcPr>
        <w:tcBorders>
          <w:left w:val="nil"/>
          <w:right w:val="nil"/>
          <w:insideH w:val="nil"/>
          <w:insideV w:val="nil"/>
        </w:tcBorders>
        <w:shd w:val="clear" w:color="auto" w:fill="000000" w:themeFill="text1"/>
      </w:tcPr>
    </w:tblStylePr>
    <w:tblStylePr w:type="band1Vert">
      <w:tblPr/>
      <w:tcPr>
        <w:tcBorders>
          <w:left w:val="nil"/>
          <w:right w:val="nil"/>
          <w:insideH w:val="nil"/>
          <w:insideV w:val="nil"/>
        </w:tcBorders>
        <w:shd w:val="clear" w:color="auto" w:fill="D8D8D8" w:themeFill="background1" w:themeFillShade="D8"/>
      </w:tcPr>
    </w:tblStylePr>
    <w:tblStylePr w:type="band1Horz">
      <w:tblPr/>
      <w:tcPr>
        <w:shd w:val="clear" w:color="auto" w:fill="D8D8D8" w:themeFill="background1" w:themeFillShade="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themeColor="background1"/>
      </w:rPr>
      <w:tblPr/>
      <w:tcPr>
        <w:tcBorders>
          <w:top w:val="single" w:sz="18" w:space="0" w:color="auto"/>
          <w:left w:val="nil"/>
          <w:bottom w:val="single" w:sz="18" w:space="0" w:color="auto"/>
          <w:right w:val="nil"/>
          <w:insideH w:val="nil"/>
          <w:insideV w:val="nil"/>
        </w:tcBorders>
      </w:tcPr>
    </w:tblStylePr>
  </w:style>
  <w:style w:type="table" w:styleId="MediumShading2-Accent1">
    <w:name w:val="Medium Shading 2 Accent 1"/>
    <w:basedOn w:val="TableNormal"/>
    <w:uiPriority w:val="64"/>
    <w:semiHidden/>
    <w:unhideWhenUsed/>
    <w:rsid w:val="00167B18"/>
    <w:pPr>
      <w:spacing w:after="0" w:line="240" w:lineRule="auto"/>
    </w:pPr>
    <w:tblPr>
      <w:tblStyleRowBandSize w:val="1"/>
      <w:tblStyleColBandSize w:val="1"/>
      <w:tblBorders>
        <w:top w:val="single" w:sz="18" w:space="0" w:color="auto"/>
        <w:bottom w:val="single" w:sz="18" w:space="0" w:color="auto"/>
      </w:tblBorders>
    </w:tblPr>
    <w:tblStylePr w:type="firstRow">
      <w:pPr>
        <w:spacing w:before="0" w:after="0" w:line="240" w:lineRule="auto"/>
      </w:pPr>
      <w:rPr>
        <w:b/>
        <w:bCs/>
        <w:color w:val="FFFFFF" w:themeColor="background1"/>
      </w:rPr>
      <w:tblPr/>
      <w:tcPr>
        <w:tcBorders>
          <w:top w:val="single" w:sz="18" w:space="0" w:color="auto"/>
          <w:left w:val="nil"/>
          <w:bottom w:val="single" w:sz="18" w:space="0" w:color="auto"/>
          <w:right w:val="nil"/>
          <w:insideH w:val="nil"/>
          <w:insideV w:val="nil"/>
        </w:tcBorders>
        <w:shd w:val="clear" w:color="auto" w:fill="4F81BD" w:themeFill="accent1"/>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hemeFill="background1"/>
      </w:tcPr>
    </w:tblStylePr>
    <w:tblStylePr w:type="firstCol">
      <w:rPr>
        <w:b/>
        <w:bCs/>
        <w:color w:val="FFFFFF" w:themeColor="background1"/>
      </w:rPr>
      <w:tblPr/>
      <w:tcPr>
        <w:tcBorders>
          <w:top w:val="nil"/>
          <w:left w:val="nil"/>
          <w:bottom w:val="single" w:sz="18" w:space="0" w:color="auto"/>
          <w:right w:val="nil"/>
          <w:insideH w:val="nil"/>
          <w:insideV w:val="nil"/>
        </w:tcBorders>
        <w:shd w:val="clear" w:color="auto" w:fill="4F81BD" w:themeFill="accent1"/>
      </w:tcPr>
    </w:tblStylePr>
    <w:tblStylePr w:type="lastCol">
      <w:rPr>
        <w:b/>
        <w:bCs/>
        <w:color w:val="FFFFFF" w:themeColor="background1"/>
      </w:rPr>
      <w:tblPr/>
      <w:tcPr>
        <w:tcBorders>
          <w:left w:val="nil"/>
          <w:right w:val="nil"/>
          <w:insideH w:val="nil"/>
          <w:insideV w:val="nil"/>
        </w:tcBorders>
        <w:shd w:val="clear" w:color="auto" w:fill="4F81BD" w:themeFill="accent1"/>
      </w:tcPr>
    </w:tblStylePr>
    <w:tblStylePr w:type="band1Vert">
      <w:tblPr/>
      <w:tcPr>
        <w:tcBorders>
          <w:left w:val="nil"/>
          <w:right w:val="nil"/>
          <w:insideH w:val="nil"/>
          <w:insideV w:val="nil"/>
        </w:tcBorders>
        <w:shd w:val="clear" w:color="auto" w:fill="D8D8D8" w:themeFill="background1" w:themeFillShade="D8"/>
      </w:tcPr>
    </w:tblStylePr>
    <w:tblStylePr w:type="band1Horz">
      <w:tblPr/>
      <w:tcPr>
        <w:shd w:val="clear" w:color="auto" w:fill="D8D8D8" w:themeFill="background1" w:themeFillShade="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themeColor="background1"/>
      </w:rPr>
      <w:tblPr/>
      <w:tcPr>
        <w:tcBorders>
          <w:top w:val="single" w:sz="18" w:space="0" w:color="auto"/>
          <w:left w:val="nil"/>
          <w:bottom w:val="single" w:sz="18" w:space="0" w:color="auto"/>
          <w:right w:val="nil"/>
          <w:insideH w:val="nil"/>
          <w:insideV w:val="nil"/>
        </w:tcBorders>
      </w:tcPr>
    </w:tblStylePr>
  </w:style>
  <w:style w:type="table" w:styleId="MediumShading2-Accent2">
    <w:name w:val="Medium Shading 2 Accent 2"/>
    <w:basedOn w:val="TableNormal"/>
    <w:uiPriority w:val="64"/>
    <w:semiHidden/>
    <w:unhideWhenUsed/>
    <w:rsid w:val="00167B18"/>
    <w:pPr>
      <w:spacing w:after="0" w:line="240" w:lineRule="auto"/>
    </w:pPr>
    <w:tblPr>
      <w:tblStyleRowBandSize w:val="1"/>
      <w:tblStyleColBandSize w:val="1"/>
      <w:tblBorders>
        <w:top w:val="single" w:sz="18" w:space="0" w:color="auto"/>
        <w:bottom w:val="single" w:sz="18" w:space="0" w:color="auto"/>
      </w:tblBorders>
    </w:tblPr>
    <w:tblStylePr w:type="firstRow">
      <w:pPr>
        <w:spacing w:before="0" w:after="0" w:line="240" w:lineRule="auto"/>
      </w:pPr>
      <w:rPr>
        <w:b/>
        <w:bCs/>
        <w:color w:val="FFFFFF" w:themeColor="background1"/>
      </w:rPr>
      <w:tblPr/>
      <w:tcPr>
        <w:tcBorders>
          <w:top w:val="single" w:sz="18" w:space="0" w:color="auto"/>
          <w:left w:val="nil"/>
          <w:bottom w:val="single" w:sz="18" w:space="0" w:color="auto"/>
          <w:right w:val="nil"/>
          <w:insideH w:val="nil"/>
          <w:insideV w:val="nil"/>
        </w:tcBorders>
        <w:shd w:val="clear" w:color="auto" w:fill="C0504D" w:themeFill="accent2"/>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hemeFill="background1"/>
      </w:tcPr>
    </w:tblStylePr>
    <w:tblStylePr w:type="firstCol">
      <w:rPr>
        <w:b/>
        <w:bCs/>
        <w:color w:val="FFFFFF" w:themeColor="background1"/>
      </w:rPr>
      <w:tblPr/>
      <w:tcPr>
        <w:tcBorders>
          <w:top w:val="nil"/>
          <w:left w:val="nil"/>
          <w:bottom w:val="single" w:sz="18" w:space="0" w:color="auto"/>
          <w:right w:val="nil"/>
          <w:insideH w:val="nil"/>
          <w:insideV w:val="nil"/>
        </w:tcBorders>
        <w:shd w:val="clear" w:color="auto" w:fill="C0504D" w:themeFill="accent2"/>
      </w:tcPr>
    </w:tblStylePr>
    <w:tblStylePr w:type="lastCol">
      <w:rPr>
        <w:b/>
        <w:bCs/>
        <w:color w:val="FFFFFF" w:themeColor="background1"/>
      </w:rPr>
      <w:tblPr/>
      <w:tcPr>
        <w:tcBorders>
          <w:left w:val="nil"/>
          <w:right w:val="nil"/>
          <w:insideH w:val="nil"/>
          <w:insideV w:val="nil"/>
        </w:tcBorders>
        <w:shd w:val="clear" w:color="auto" w:fill="C0504D" w:themeFill="accent2"/>
      </w:tcPr>
    </w:tblStylePr>
    <w:tblStylePr w:type="band1Vert">
      <w:tblPr/>
      <w:tcPr>
        <w:tcBorders>
          <w:left w:val="nil"/>
          <w:right w:val="nil"/>
          <w:insideH w:val="nil"/>
          <w:insideV w:val="nil"/>
        </w:tcBorders>
        <w:shd w:val="clear" w:color="auto" w:fill="D8D8D8" w:themeFill="background1" w:themeFillShade="D8"/>
      </w:tcPr>
    </w:tblStylePr>
    <w:tblStylePr w:type="band1Horz">
      <w:tblPr/>
      <w:tcPr>
        <w:shd w:val="clear" w:color="auto" w:fill="D8D8D8" w:themeFill="background1" w:themeFillShade="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themeColor="background1"/>
      </w:rPr>
      <w:tblPr/>
      <w:tcPr>
        <w:tcBorders>
          <w:top w:val="single" w:sz="18" w:space="0" w:color="auto"/>
          <w:left w:val="nil"/>
          <w:bottom w:val="single" w:sz="18" w:space="0" w:color="auto"/>
          <w:right w:val="nil"/>
          <w:insideH w:val="nil"/>
          <w:insideV w:val="nil"/>
        </w:tcBorders>
      </w:tcPr>
    </w:tblStylePr>
  </w:style>
  <w:style w:type="table" w:styleId="MediumShading2-Accent3">
    <w:name w:val="Medium Shading 2 Accent 3"/>
    <w:basedOn w:val="TableNormal"/>
    <w:uiPriority w:val="64"/>
    <w:semiHidden/>
    <w:unhideWhenUsed/>
    <w:rsid w:val="00167B18"/>
    <w:pPr>
      <w:spacing w:after="0" w:line="240" w:lineRule="auto"/>
    </w:pPr>
    <w:tblPr>
      <w:tblStyleRowBandSize w:val="1"/>
      <w:tblStyleColBandSize w:val="1"/>
      <w:tblBorders>
        <w:top w:val="single" w:sz="18" w:space="0" w:color="auto"/>
        <w:bottom w:val="single" w:sz="18" w:space="0" w:color="auto"/>
      </w:tblBorders>
    </w:tblPr>
    <w:tblStylePr w:type="firstRow">
      <w:pPr>
        <w:spacing w:before="0" w:after="0" w:line="240" w:lineRule="auto"/>
      </w:pPr>
      <w:rPr>
        <w:b/>
        <w:bCs/>
        <w:color w:val="FFFFFF" w:themeColor="background1"/>
      </w:rPr>
      <w:tblPr/>
      <w:tcPr>
        <w:tcBorders>
          <w:top w:val="single" w:sz="18" w:space="0" w:color="auto"/>
          <w:left w:val="nil"/>
          <w:bottom w:val="single" w:sz="18" w:space="0" w:color="auto"/>
          <w:right w:val="nil"/>
          <w:insideH w:val="nil"/>
          <w:insideV w:val="nil"/>
        </w:tcBorders>
        <w:shd w:val="clear" w:color="auto" w:fill="9BBB59" w:themeFill="accent3"/>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hemeFill="background1"/>
      </w:tcPr>
    </w:tblStylePr>
    <w:tblStylePr w:type="firstCol">
      <w:rPr>
        <w:b/>
        <w:bCs/>
        <w:color w:val="FFFFFF" w:themeColor="background1"/>
      </w:rPr>
      <w:tblPr/>
      <w:tcPr>
        <w:tcBorders>
          <w:top w:val="nil"/>
          <w:left w:val="nil"/>
          <w:bottom w:val="single" w:sz="18" w:space="0" w:color="auto"/>
          <w:right w:val="nil"/>
          <w:insideH w:val="nil"/>
          <w:insideV w:val="nil"/>
        </w:tcBorders>
        <w:shd w:val="clear" w:color="auto" w:fill="9BBB59" w:themeFill="accent3"/>
      </w:tcPr>
    </w:tblStylePr>
    <w:tblStylePr w:type="lastCol">
      <w:rPr>
        <w:b/>
        <w:bCs/>
        <w:color w:val="FFFFFF" w:themeColor="background1"/>
      </w:rPr>
      <w:tblPr/>
      <w:tcPr>
        <w:tcBorders>
          <w:left w:val="nil"/>
          <w:right w:val="nil"/>
          <w:insideH w:val="nil"/>
          <w:insideV w:val="nil"/>
        </w:tcBorders>
        <w:shd w:val="clear" w:color="auto" w:fill="9BBB59" w:themeFill="accent3"/>
      </w:tcPr>
    </w:tblStylePr>
    <w:tblStylePr w:type="band1Vert">
      <w:tblPr/>
      <w:tcPr>
        <w:tcBorders>
          <w:left w:val="nil"/>
          <w:right w:val="nil"/>
          <w:insideH w:val="nil"/>
          <w:insideV w:val="nil"/>
        </w:tcBorders>
        <w:shd w:val="clear" w:color="auto" w:fill="D8D8D8" w:themeFill="background1" w:themeFillShade="D8"/>
      </w:tcPr>
    </w:tblStylePr>
    <w:tblStylePr w:type="band1Horz">
      <w:tblPr/>
      <w:tcPr>
        <w:shd w:val="clear" w:color="auto" w:fill="D8D8D8" w:themeFill="background1" w:themeFillShade="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themeColor="background1"/>
      </w:rPr>
      <w:tblPr/>
      <w:tcPr>
        <w:tcBorders>
          <w:top w:val="single" w:sz="18" w:space="0" w:color="auto"/>
          <w:left w:val="nil"/>
          <w:bottom w:val="single" w:sz="18" w:space="0" w:color="auto"/>
          <w:right w:val="nil"/>
          <w:insideH w:val="nil"/>
          <w:insideV w:val="nil"/>
        </w:tcBorders>
      </w:tcPr>
    </w:tblStylePr>
  </w:style>
  <w:style w:type="table" w:styleId="MediumShading2-Accent4">
    <w:name w:val="Medium Shading 2 Accent 4"/>
    <w:basedOn w:val="TableNormal"/>
    <w:uiPriority w:val="64"/>
    <w:semiHidden/>
    <w:unhideWhenUsed/>
    <w:rsid w:val="00167B18"/>
    <w:pPr>
      <w:spacing w:after="0" w:line="240" w:lineRule="auto"/>
    </w:pPr>
    <w:tblPr>
      <w:tblStyleRowBandSize w:val="1"/>
      <w:tblStyleColBandSize w:val="1"/>
      <w:tblBorders>
        <w:top w:val="single" w:sz="18" w:space="0" w:color="auto"/>
        <w:bottom w:val="single" w:sz="18" w:space="0" w:color="auto"/>
      </w:tblBorders>
    </w:tblPr>
    <w:tblStylePr w:type="firstRow">
      <w:pPr>
        <w:spacing w:before="0" w:after="0" w:line="240" w:lineRule="auto"/>
      </w:pPr>
      <w:rPr>
        <w:b/>
        <w:bCs/>
        <w:color w:val="FFFFFF" w:themeColor="background1"/>
      </w:rPr>
      <w:tblPr/>
      <w:tcPr>
        <w:tcBorders>
          <w:top w:val="single" w:sz="18" w:space="0" w:color="auto"/>
          <w:left w:val="nil"/>
          <w:bottom w:val="single" w:sz="18" w:space="0" w:color="auto"/>
          <w:right w:val="nil"/>
          <w:insideH w:val="nil"/>
          <w:insideV w:val="nil"/>
        </w:tcBorders>
        <w:shd w:val="clear" w:color="auto" w:fill="8064A2" w:themeFill="accent4"/>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hemeFill="background1"/>
      </w:tcPr>
    </w:tblStylePr>
    <w:tblStylePr w:type="firstCol">
      <w:rPr>
        <w:b/>
        <w:bCs/>
        <w:color w:val="FFFFFF" w:themeColor="background1"/>
      </w:rPr>
      <w:tblPr/>
      <w:tcPr>
        <w:tcBorders>
          <w:top w:val="nil"/>
          <w:left w:val="nil"/>
          <w:bottom w:val="single" w:sz="18" w:space="0" w:color="auto"/>
          <w:right w:val="nil"/>
          <w:insideH w:val="nil"/>
          <w:insideV w:val="nil"/>
        </w:tcBorders>
        <w:shd w:val="clear" w:color="auto" w:fill="8064A2" w:themeFill="accent4"/>
      </w:tcPr>
    </w:tblStylePr>
    <w:tblStylePr w:type="lastCol">
      <w:rPr>
        <w:b/>
        <w:bCs/>
        <w:color w:val="FFFFFF" w:themeColor="background1"/>
      </w:rPr>
      <w:tblPr/>
      <w:tcPr>
        <w:tcBorders>
          <w:left w:val="nil"/>
          <w:right w:val="nil"/>
          <w:insideH w:val="nil"/>
          <w:insideV w:val="nil"/>
        </w:tcBorders>
        <w:shd w:val="clear" w:color="auto" w:fill="8064A2" w:themeFill="accent4"/>
      </w:tcPr>
    </w:tblStylePr>
    <w:tblStylePr w:type="band1Vert">
      <w:tblPr/>
      <w:tcPr>
        <w:tcBorders>
          <w:left w:val="nil"/>
          <w:right w:val="nil"/>
          <w:insideH w:val="nil"/>
          <w:insideV w:val="nil"/>
        </w:tcBorders>
        <w:shd w:val="clear" w:color="auto" w:fill="D8D8D8" w:themeFill="background1" w:themeFillShade="D8"/>
      </w:tcPr>
    </w:tblStylePr>
    <w:tblStylePr w:type="band1Horz">
      <w:tblPr/>
      <w:tcPr>
        <w:shd w:val="clear" w:color="auto" w:fill="D8D8D8" w:themeFill="background1" w:themeFillShade="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themeColor="background1"/>
      </w:rPr>
      <w:tblPr/>
      <w:tcPr>
        <w:tcBorders>
          <w:top w:val="single" w:sz="18" w:space="0" w:color="auto"/>
          <w:left w:val="nil"/>
          <w:bottom w:val="single" w:sz="18" w:space="0" w:color="auto"/>
          <w:right w:val="nil"/>
          <w:insideH w:val="nil"/>
          <w:insideV w:val="nil"/>
        </w:tcBorders>
      </w:tcPr>
    </w:tblStylePr>
  </w:style>
  <w:style w:type="table" w:styleId="MediumShading2-Accent5">
    <w:name w:val="Medium Shading 2 Accent 5"/>
    <w:basedOn w:val="TableNormal"/>
    <w:uiPriority w:val="64"/>
    <w:semiHidden/>
    <w:unhideWhenUsed/>
    <w:rsid w:val="00167B18"/>
    <w:pPr>
      <w:spacing w:after="0" w:line="240" w:lineRule="auto"/>
    </w:pPr>
    <w:tblPr>
      <w:tblStyleRowBandSize w:val="1"/>
      <w:tblStyleColBandSize w:val="1"/>
      <w:tblBorders>
        <w:top w:val="single" w:sz="18" w:space="0" w:color="auto"/>
        <w:bottom w:val="single" w:sz="18" w:space="0" w:color="auto"/>
      </w:tblBorders>
    </w:tblPr>
    <w:tblStylePr w:type="firstRow">
      <w:pPr>
        <w:spacing w:before="0" w:after="0" w:line="240" w:lineRule="auto"/>
      </w:pPr>
      <w:rPr>
        <w:b/>
        <w:bCs/>
        <w:color w:val="FFFFFF" w:themeColor="background1"/>
      </w:rPr>
      <w:tblPr/>
      <w:tcPr>
        <w:tcBorders>
          <w:top w:val="single" w:sz="18" w:space="0" w:color="auto"/>
          <w:left w:val="nil"/>
          <w:bottom w:val="single" w:sz="18" w:space="0" w:color="auto"/>
          <w:right w:val="nil"/>
          <w:insideH w:val="nil"/>
          <w:insideV w:val="nil"/>
        </w:tcBorders>
        <w:shd w:val="clear" w:color="auto" w:fill="4BACC6" w:themeFill="accent5"/>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hemeFill="background1"/>
      </w:tcPr>
    </w:tblStylePr>
    <w:tblStylePr w:type="firstCol">
      <w:rPr>
        <w:b/>
        <w:bCs/>
        <w:color w:val="FFFFFF" w:themeColor="background1"/>
      </w:rPr>
      <w:tblPr/>
      <w:tcPr>
        <w:tcBorders>
          <w:top w:val="nil"/>
          <w:left w:val="nil"/>
          <w:bottom w:val="single" w:sz="18" w:space="0" w:color="auto"/>
          <w:right w:val="nil"/>
          <w:insideH w:val="nil"/>
          <w:insideV w:val="nil"/>
        </w:tcBorders>
        <w:shd w:val="clear" w:color="auto" w:fill="4BACC6" w:themeFill="accent5"/>
      </w:tcPr>
    </w:tblStylePr>
    <w:tblStylePr w:type="lastCol">
      <w:rPr>
        <w:b/>
        <w:bCs/>
        <w:color w:val="FFFFFF" w:themeColor="background1"/>
      </w:rPr>
      <w:tblPr/>
      <w:tcPr>
        <w:tcBorders>
          <w:left w:val="nil"/>
          <w:right w:val="nil"/>
          <w:insideH w:val="nil"/>
          <w:insideV w:val="nil"/>
        </w:tcBorders>
        <w:shd w:val="clear" w:color="auto" w:fill="4BACC6" w:themeFill="accent5"/>
      </w:tcPr>
    </w:tblStylePr>
    <w:tblStylePr w:type="band1Vert">
      <w:tblPr/>
      <w:tcPr>
        <w:tcBorders>
          <w:left w:val="nil"/>
          <w:right w:val="nil"/>
          <w:insideH w:val="nil"/>
          <w:insideV w:val="nil"/>
        </w:tcBorders>
        <w:shd w:val="clear" w:color="auto" w:fill="D8D8D8" w:themeFill="background1" w:themeFillShade="D8"/>
      </w:tcPr>
    </w:tblStylePr>
    <w:tblStylePr w:type="band1Horz">
      <w:tblPr/>
      <w:tcPr>
        <w:shd w:val="clear" w:color="auto" w:fill="D8D8D8" w:themeFill="background1" w:themeFillShade="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themeColor="background1"/>
      </w:rPr>
      <w:tblPr/>
      <w:tcPr>
        <w:tcBorders>
          <w:top w:val="single" w:sz="18" w:space="0" w:color="auto"/>
          <w:left w:val="nil"/>
          <w:bottom w:val="single" w:sz="18" w:space="0" w:color="auto"/>
          <w:right w:val="nil"/>
          <w:insideH w:val="nil"/>
          <w:insideV w:val="nil"/>
        </w:tcBorders>
      </w:tcPr>
    </w:tblStylePr>
  </w:style>
  <w:style w:type="table" w:styleId="MediumShading2-Accent6">
    <w:name w:val="Medium Shading 2 Accent 6"/>
    <w:basedOn w:val="TableNormal"/>
    <w:uiPriority w:val="64"/>
    <w:semiHidden/>
    <w:unhideWhenUsed/>
    <w:rsid w:val="00167B18"/>
    <w:pPr>
      <w:spacing w:after="0" w:line="240" w:lineRule="auto"/>
    </w:pPr>
    <w:tblPr>
      <w:tblStyleRowBandSize w:val="1"/>
      <w:tblStyleColBandSize w:val="1"/>
      <w:tblBorders>
        <w:top w:val="single" w:sz="18" w:space="0" w:color="auto"/>
        <w:bottom w:val="single" w:sz="18" w:space="0" w:color="auto"/>
      </w:tblBorders>
    </w:tblPr>
    <w:tblStylePr w:type="firstRow">
      <w:pPr>
        <w:spacing w:before="0" w:after="0" w:line="240" w:lineRule="auto"/>
      </w:pPr>
      <w:rPr>
        <w:b/>
        <w:bCs/>
        <w:color w:val="FFFFFF" w:themeColor="background1"/>
      </w:rPr>
      <w:tblPr/>
      <w:tcPr>
        <w:tcBorders>
          <w:top w:val="single" w:sz="18" w:space="0" w:color="auto"/>
          <w:left w:val="nil"/>
          <w:bottom w:val="single" w:sz="18" w:space="0" w:color="auto"/>
          <w:right w:val="nil"/>
          <w:insideH w:val="nil"/>
          <w:insideV w:val="nil"/>
        </w:tcBorders>
        <w:shd w:val="clear" w:color="auto" w:fill="F79646" w:themeFill="accent6"/>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hemeFill="background1"/>
      </w:tcPr>
    </w:tblStylePr>
    <w:tblStylePr w:type="firstCol">
      <w:rPr>
        <w:b/>
        <w:bCs/>
        <w:color w:val="FFFFFF" w:themeColor="background1"/>
      </w:rPr>
      <w:tblPr/>
      <w:tcPr>
        <w:tcBorders>
          <w:top w:val="nil"/>
          <w:left w:val="nil"/>
          <w:bottom w:val="single" w:sz="18" w:space="0" w:color="auto"/>
          <w:right w:val="nil"/>
          <w:insideH w:val="nil"/>
          <w:insideV w:val="nil"/>
        </w:tcBorders>
        <w:shd w:val="clear" w:color="auto" w:fill="F79646" w:themeFill="accent6"/>
      </w:tcPr>
    </w:tblStylePr>
    <w:tblStylePr w:type="lastCol">
      <w:rPr>
        <w:b/>
        <w:bCs/>
        <w:color w:val="FFFFFF" w:themeColor="background1"/>
      </w:rPr>
      <w:tblPr/>
      <w:tcPr>
        <w:tcBorders>
          <w:left w:val="nil"/>
          <w:right w:val="nil"/>
          <w:insideH w:val="nil"/>
          <w:insideV w:val="nil"/>
        </w:tcBorders>
        <w:shd w:val="clear" w:color="auto" w:fill="F79646" w:themeFill="accent6"/>
      </w:tcPr>
    </w:tblStylePr>
    <w:tblStylePr w:type="band1Vert">
      <w:tblPr/>
      <w:tcPr>
        <w:tcBorders>
          <w:left w:val="nil"/>
          <w:right w:val="nil"/>
          <w:insideH w:val="nil"/>
          <w:insideV w:val="nil"/>
        </w:tcBorders>
        <w:shd w:val="clear" w:color="auto" w:fill="D8D8D8" w:themeFill="background1" w:themeFillShade="D8"/>
      </w:tcPr>
    </w:tblStylePr>
    <w:tblStylePr w:type="band1Horz">
      <w:tblPr/>
      <w:tcPr>
        <w:shd w:val="clear" w:color="auto" w:fill="D8D8D8" w:themeFill="background1" w:themeFillShade="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themeColor="background1"/>
      </w:rPr>
      <w:tblPr/>
      <w:tcPr>
        <w:tcBorders>
          <w:top w:val="single" w:sz="18" w:space="0" w:color="auto"/>
          <w:left w:val="nil"/>
          <w:bottom w:val="single" w:sz="18" w:space="0" w:color="auto"/>
          <w:right w:val="nil"/>
          <w:insideH w:val="nil"/>
          <w:insideV w:val="nil"/>
        </w:tcBorders>
      </w:tcPr>
    </w:tblStylePr>
  </w:style>
  <w:style w:type="paragraph" w:styleId="MessageHeader">
    <w:name w:val="Message Header"/>
    <w:basedOn w:val="Normal"/>
    <w:link w:val="MessageHeaderChar"/>
    <w:uiPriority w:val="99"/>
    <w:semiHidden/>
    <w:unhideWhenUsed/>
    <w:rsid w:val="00167B18"/>
    <w:pPr>
      <w:pBdr>
        <w:top w:val="single" w:sz="6" w:space="1" w:color="auto"/>
        <w:left w:val="single" w:sz="6" w:space="1" w:color="auto"/>
        <w:bottom w:val="single" w:sz="6" w:space="1" w:color="auto"/>
        <w:right w:val="single" w:sz="6" w:space="1" w:color="auto"/>
      </w:pBdr>
      <w:shd w:val="pct20" w:color="auto" w:fill="auto"/>
      <w:spacing w:after="0"/>
      <w:ind w:left="1080" w:hanging="1080"/>
    </w:pPr>
    <w:rPr>
      <w:rFonts w:asciiTheme="majorHAnsi" w:eastAsiaTheme="majorEastAsia" w:hAnsiTheme="majorHAnsi" w:cstheme="majorBidi"/>
    </w:rPr>
  </w:style>
  <w:style w:type="character" w:customStyle="1" w:styleId="MessageHeaderChar">
    <w:name w:val="Message Header Char"/>
    <w:basedOn w:val="DefaultParagraphFont"/>
    <w:link w:val="MessageHeader"/>
    <w:uiPriority w:val="99"/>
    <w:semiHidden/>
    <w:rsid w:val="00167B18"/>
    <w:rPr>
      <w:rFonts w:asciiTheme="majorHAnsi" w:eastAsiaTheme="majorEastAsia" w:hAnsiTheme="majorHAnsi" w:cstheme="majorBidi"/>
      <w:sz w:val="24"/>
      <w:szCs w:val="24"/>
      <w:shd w:val="pct20" w:color="auto" w:fill="auto"/>
    </w:rPr>
  </w:style>
  <w:style w:type="paragraph" w:styleId="NoSpacing">
    <w:name w:val="No Spacing"/>
    <w:uiPriority w:val="1"/>
    <w:qFormat/>
    <w:rsid w:val="00167B18"/>
    <w:pPr>
      <w:spacing w:after="0" w:line="240" w:lineRule="auto"/>
    </w:pPr>
    <w:rPr>
      <w:rFonts w:ascii="Times New Roman" w:eastAsia="Times New Roman" w:hAnsi="Times New Roman" w:cs="Times New Roman"/>
      <w:sz w:val="24"/>
      <w:szCs w:val="24"/>
    </w:rPr>
  </w:style>
  <w:style w:type="paragraph" w:styleId="NormalIndent">
    <w:name w:val="Normal Indent"/>
    <w:basedOn w:val="Normal"/>
    <w:uiPriority w:val="99"/>
    <w:semiHidden/>
    <w:unhideWhenUsed/>
    <w:rsid w:val="00167B18"/>
    <w:pPr>
      <w:ind w:left="720"/>
    </w:pPr>
  </w:style>
  <w:style w:type="paragraph" w:styleId="NoteHeading">
    <w:name w:val="Note Heading"/>
    <w:basedOn w:val="Normal"/>
    <w:next w:val="Normal"/>
    <w:link w:val="NoteHeadingChar"/>
    <w:uiPriority w:val="99"/>
    <w:semiHidden/>
    <w:unhideWhenUsed/>
    <w:rsid w:val="00167B18"/>
    <w:pPr>
      <w:spacing w:after="0"/>
    </w:pPr>
  </w:style>
  <w:style w:type="character" w:customStyle="1" w:styleId="NoteHeadingChar">
    <w:name w:val="Note Heading Char"/>
    <w:basedOn w:val="DefaultParagraphFont"/>
    <w:link w:val="NoteHeading"/>
    <w:uiPriority w:val="99"/>
    <w:semiHidden/>
    <w:rsid w:val="00167B18"/>
    <w:rPr>
      <w:rFonts w:ascii="Times New Roman" w:eastAsia="Times New Roman" w:hAnsi="Times New Roman" w:cs="Times New Roman"/>
      <w:sz w:val="24"/>
      <w:szCs w:val="24"/>
    </w:rPr>
  </w:style>
  <w:style w:type="table" w:styleId="PlainTable1">
    <w:name w:val="Plain Table 1"/>
    <w:basedOn w:val="TableNormal"/>
    <w:uiPriority w:val="41"/>
    <w:rsid w:val="00167B18"/>
    <w:pPr>
      <w:spacing w:after="0" w:line="240" w:lineRule="auto"/>
    </w:pPr>
    <w:tblPr>
      <w:tblStyleRowBandSize w:val="1"/>
      <w:tblStyleColBandSize w:val="1"/>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tblStylePr w:type="firstRow">
      <w:rPr>
        <w:b/>
        <w:bCs/>
      </w:rPr>
    </w:tblStylePr>
    <w:tblStylePr w:type="lastRow">
      <w:rPr>
        <w:b/>
        <w:bCs/>
      </w:rPr>
      <w:tblPr/>
      <w:tcPr>
        <w:tcBorders>
          <w:top w:val="double" w:sz="4" w:space="0" w:color="BFBFBF" w:themeColor="background1" w:themeShade="BF"/>
        </w:tcBorders>
      </w:tcPr>
    </w:tblStylePr>
    <w:tblStylePr w:type="firstCol">
      <w:rPr>
        <w:b/>
        <w:bCs/>
      </w:rPr>
    </w:tblStylePr>
    <w:tblStylePr w:type="lastCol">
      <w:rPr>
        <w:b/>
        <w:bCs/>
      </w:r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style>
  <w:style w:type="table" w:styleId="PlainTable2">
    <w:name w:val="Plain Table 2"/>
    <w:basedOn w:val="TableNormal"/>
    <w:uiPriority w:val="42"/>
    <w:rsid w:val="00167B18"/>
    <w:pPr>
      <w:spacing w:after="0" w:line="240" w:lineRule="auto"/>
    </w:pPr>
    <w:tblPr>
      <w:tblStyleRowBandSize w:val="1"/>
      <w:tblStyleColBandSize w:val="1"/>
      <w:tblBorders>
        <w:top w:val="single" w:sz="4" w:space="0" w:color="7F7F7F" w:themeColor="text1" w:themeTint="80"/>
        <w:bottom w:val="single" w:sz="4" w:space="0" w:color="7F7F7F" w:themeColor="text1" w:themeTint="80"/>
      </w:tblBorders>
    </w:tblPr>
    <w:tblStylePr w:type="firstRow">
      <w:rPr>
        <w:b/>
        <w:bCs/>
      </w:rPr>
      <w:tblPr/>
      <w:tcPr>
        <w:tcBorders>
          <w:bottom w:val="single" w:sz="4" w:space="0" w:color="7F7F7F" w:themeColor="text1" w:themeTint="80"/>
        </w:tcBorders>
      </w:tcPr>
    </w:tblStylePr>
    <w:tblStylePr w:type="lastRow">
      <w:rPr>
        <w:b/>
        <w:bCs/>
      </w:rPr>
      <w:tblPr/>
      <w:tcPr>
        <w:tcBorders>
          <w:top w:val="single" w:sz="4" w:space="0" w:color="7F7F7F" w:themeColor="text1" w:themeTint="80"/>
        </w:tcBorders>
      </w:tcPr>
    </w:tblStylePr>
    <w:tblStylePr w:type="firstCol">
      <w:rPr>
        <w:b/>
        <w:bCs/>
      </w:rPr>
    </w:tblStylePr>
    <w:tblStylePr w:type="lastCol">
      <w:rPr>
        <w:b/>
        <w:bCs/>
      </w:rPr>
    </w:tblStylePr>
    <w:tblStylePr w:type="band1Vert">
      <w:tblPr/>
      <w:tcPr>
        <w:tcBorders>
          <w:left w:val="single" w:sz="4" w:space="0" w:color="7F7F7F" w:themeColor="text1" w:themeTint="80"/>
          <w:right w:val="single" w:sz="4" w:space="0" w:color="7F7F7F" w:themeColor="text1" w:themeTint="80"/>
        </w:tcBorders>
      </w:tcPr>
    </w:tblStylePr>
    <w:tblStylePr w:type="band2Vert">
      <w:tblPr/>
      <w:tcPr>
        <w:tcBorders>
          <w:left w:val="single" w:sz="4" w:space="0" w:color="7F7F7F" w:themeColor="text1" w:themeTint="80"/>
          <w:right w:val="single" w:sz="4" w:space="0" w:color="7F7F7F" w:themeColor="text1" w:themeTint="80"/>
        </w:tcBorders>
      </w:tcPr>
    </w:tblStylePr>
    <w:tblStylePr w:type="band1Horz">
      <w:tblPr/>
      <w:tcPr>
        <w:tcBorders>
          <w:top w:val="single" w:sz="4" w:space="0" w:color="7F7F7F" w:themeColor="text1" w:themeTint="80"/>
          <w:bottom w:val="single" w:sz="4" w:space="0" w:color="7F7F7F" w:themeColor="text1" w:themeTint="80"/>
        </w:tcBorders>
      </w:tcPr>
    </w:tblStylePr>
  </w:style>
  <w:style w:type="table" w:styleId="PlainTable3">
    <w:name w:val="Plain Table 3"/>
    <w:basedOn w:val="TableNormal"/>
    <w:uiPriority w:val="43"/>
    <w:rsid w:val="00167B18"/>
    <w:pPr>
      <w:spacing w:after="0" w:line="240" w:lineRule="auto"/>
    </w:pPr>
    <w:tblPr>
      <w:tblStyleRowBandSize w:val="1"/>
      <w:tblStyleColBandSize w:val="1"/>
    </w:tblPr>
    <w:tblStylePr w:type="firstRow">
      <w:rPr>
        <w:b/>
        <w:bCs/>
        <w:caps/>
      </w:rPr>
      <w:tblPr/>
      <w:tcPr>
        <w:tcBorders>
          <w:bottom w:val="single" w:sz="4" w:space="0" w:color="7F7F7F" w:themeColor="text1" w:themeTint="80"/>
        </w:tcBorders>
      </w:tcPr>
    </w:tblStylePr>
    <w:tblStylePr w:type="lastRow">
      <w:rPr>
        <w:b/>
        <w:bCs/>
        <w:caps/>
      </w:rPr>
      <w:tblPr/>
      <w:tcPr>
        <w:tcBorders>
          <w:top w:val="nil"/>
        </w:tcBorders>
      </w:tcPr>
    </w:tblStylePr>
    <w:tblStylePr w:type="firstCol">
      <w:rPr>
        <w:b/>
        <w:bCs/>
        <w:caps/>
      </w:rPr>
      <w:tblPr/>
      <w:tcPr>
        <w:tcBorders>
          <w:right w:val="single" w:sz="4" w:space="0" w:color="7F7F7F" w:themeColor="text1" w:themeTint="80"/>
        </w:tcBorders>
      </w:tcPr>
    </w:tblStylePr>
    <w:tblStylePr w:type="lastCol">
      <w:rPr>
        <w:b/>
        <w:bCs/>
        <w:caps/>
      </w:rPr>
      <w:tblPr/>
      <w:tcPr>
        <w:tcBorders>
          <w:left w:val="nil"/>
        </w:tcBorders>
      </w:tc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tblStylePr w:type="neCell">
      <w:tblPr/>
      <w:tcPr>
        <w:tcBorders>
          <w:left w:val="nil"/>
        </w:tcBorders>
      </w:tcPr>
    </w:tblStylePr>
    <w:tblStylePr w:type="nwCell">
      <w:tblPr/>
      <w:tcPr>
        <w:tcBorders>
          <w:right w:val="nil"/>
        </w:tcBorders>
      </w:tcPr>
    </w:tblStylePr>
  </w:style>
  <w:style w:type="table" w:styleId="PlainTable4">
    <w:name w:val="Plain Table 4"/>
    <w:basedOn w:val="TableNormal"/>
    <w:uiPriority w:val="44"/>
    <w:rsid w:val="00167B18"/>
    <w:pPr>
      <w:spacing w:after="0" w:line="240" w:lineRule="auto"/>
    </w:pPr>
    <w:tblPr>
      <w:tblStyleRowBandSize w:val="1"/>
      <w:tblStyleColBandSize w:val="1"/>
    </w:tblPr>
    <w:tblStylePr w:type="firstRow">
      <w:rPr>
        <w:b/>
        <w:bCs/>
      </w:rPr>
    </w:tblStylePr>
    <w:tblStylePr w:type="lastRow">
      <w:rPr>
        <w:b/>
        <w:bCs/>
      </w:rPr>
    </w:tblStylePr>
    <w:tblStylePr w:type="firstCol">
      <w:rPr>
        <w:b/>
        <w:bCs/>
      </w:rPr>
    </w:tblStylePr>
    <w:tblStylePr w:type="lastCol">
      <w:rPr>
        <w:b/>
        <w:bCs/>
      </w:r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style>
  <w:style w:type="table" w:styleId="PlainTable5">
    <w:name w:val="Plain Table 5"/>
    <w:basedOn w:val="TableNormal"/>
    <w:uiPriority w:val="45"/>
    <w:rsid w:val="00167B18"/>
    <w:pPr>
      <w:spacing w:after="0" w:line="240" w:lineRule="auto"/>
    </w:pPr>
    <w:tblPr>
      <w:tblStyleRowBandSize w:val="1"/>
      <w:tblStyleColBandSize w:val="1"/>
    </w:tblPr>
    <w:tblStylePr w:type="firstRow">
      <w:rPr>
        <w:rFonts w:asciiTheme="majorHAnsi" w:eastAsiaTheme="majorEastAsia" w:hAnsiTheme="majorHAnsi" w:cstheme="majorBidi"/>
        <w:i/>
        <w:iCs/>
        <w:sz w:val="26"/>
      </w:rPr>
      <w:tblPr/>
      <w:tcPr>
        <w:tcBorders>
          <w:bottom w:val="single" w:sz="4" w:space="0" w:color="7F7F7F" w:themeColor="text1" w:themeTint="80"/>
        </w:tcBorders>
        <w:shd w:val="clear" w:color="auto" w:fill="FFFFFF" w:themeFill="background1"/>
      </w:tcPr>
    </w:tblStylePr>
    <w:tblStylePr w:type="lastRow">
      <w:rPr>
        <w:rFonts w:asciiTheme="majorHAnsi" w:eastAsiaTheme="majorEastAsia" w:hAnsiTheme="majorHAnsi" w:cstheme="majorBidi"/>
        <w:i/>
        <w:iCs/>
        <w:sz w:val="26"/>
      </w:rPr>
      <w:tblPr/>
      <w:tcPr>
        <w:tcBorders>
          <w:top w:val="single" w:sz="4" w:space="0" w:color="7F7F7F" w:themeColor="text1" w:themeTint="80"/>
        </w:tcBorders>
        <w:shd w:val="clear" w:color="auto" w:fill="FFFFFF" w:themeFill="background1"/>
      </w:tcPr>
    </w:tblStylePr>
    <w:tblStylePr w:type="firstCol">
      <w:pPr>
        <w:jc w:val="right"/>
      </w:pPr>
      <w:rPr>
        <w:rFonts w:asciiTheme="majorHAnsi" w:eastAsiaTheme="majorEastAsia" w:hAnsiTheme="majorHAnsi" w:cstheme="majorBidi"/>
        <w:i/>
        <w:iCs/>
        <w:sz w:val="26"/>
      </w:rPr>
      <w:tblPr/>
      <w:tcPr>
        <w:tcBorders>
          <w:right w:val="single" w:sz="4" w:space="0" w:color="7F7F7F" w:themeColor="text1" w:themeTint="80"/>
        </w:tcBorders>
        <w:shd w:val="clear" w:color="auto" w:fill="FFFFFF" w:themeFill="background1"/>
      </w:tcPr>
    </w:tblStylePr>
    <w:tblStylePr w:type="lastCol">
      <w:rPr>
        <w:rFonts w:asciiTheme="majorHAnsi" w:eastAsiaTheme="majorEastAsia" w:hAnsiTheme="majorHAnsi" w:cstheme="majorBidi"/>
        <w:i/>
        <w:iCs/>
        <w:sz w:val="26"/>
      </w:rPr>
      <w:tblPr/>
      <w:tcPr>
        <w:tcBorders>
          <w:left w:val="single" w:sz="4" w:space="0" w:color="7F7F7F" w:themeColor="text1" w:themeTint="80"/>
        </w:tcBorders>
        <w:shd w:val="clear" w:color="auto" w:fill="FFFFFF" w:themeFill="background1"/>
      </w:tc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tblStylePr w:type="neCell">
      <w:tblPr/>
      <w:tcPr>
        <w:tcBorders>
          <w:left w:val="nil"/>
        </w:tcBorders>
      </w:tcPr>
    </w:tblStylePr>
    <w:tblStylePr w:type="nwCell">
      <w:tblPr/>
      <w:tcPr>
        <w:tcBorders>
          <w:right w:val="nil"/>
        </w:tcBorders>
      </w:tcPr>
    </w:tblStylePr>
    <w:tblStylePr w:type="seCell">
      <w:tblPr/>
      <w:tcPr>
        <w:tcBorders>
          <w:left w:val="nil"/>
        </w:tcBorders>
      </w:tcPr>
    </w:tblStylePr>
    <w:tblStylePr w:type="swCell">
      <w:tblPr/>
      <w:tcPr>
        <w:tcBorders>
          <w:right w:val="nil"/>
        </w:tcBorders>
      </w:tcPr>
    </w:tblStylePr>
  </w:style>
  <w:style w:type="paragraph" w:styleId="PlainText">
    <w:name w:val="Plain Text"/>
    <w:basedOn w:val="Normal"/>
    <w:link w:val="PlainTextChar"/>
    <w:uiPriority w:val="99"/>
    <w:semiHidden/>
    <w:unhideWhenUsed/>
    <w:rsid w:val="00167B18"/>
    <w:pPr>
      <w:spacing w:after="0"/>
    </w:pPr>
    <w:rPr>
      <w:rFonts w:ascii="Consolas" w:hAnsi="Consolas"/>
      <w:sz w:val="21"/>
      <w:szCs w:val="21"/>
    </w:rPr>
  </w:style>
  <w:style w:type="character" w:customStyle="1" w:styleId="PlainTextChar">
    <w:name w:val="Plain Text Char"/>
    <w:basedOn w:val="DefaultParagraphFont"/>
    <w:link w:val="PlainText"/>
    <w:uiPriority w:val="99"/>
    <w:semiHidden/>
    <w:rsid w:val="00167B18"/>
    <w:rPr>
      <w:rFonts w:ascii="Consolas" w:eastAsia="Times New Roman" w:hAnsi="Consolas" w:cs="Times New Roman"/>
      <w:sz w:val="21"/>
      <w:szCs w:val="21"/>
    </w:rPr>
  </w:style>
  <w:style w:type="paragraph" w:styleId="Quote">
    <w:name w:val="Quote"/>
    <w:basedOn w:val="Normal"/>
    <w:next w:val="Normal"/>
    <w:link w:val="QuoteChar"/>
    <w:uiPriority w:val="29"/>
    <w:qFormat/>
    <w:rsid w:val="00167B18"/>
    <w:pPr>
      <w:spacing w:before="200" w:after="160"/>
      <w:ind w:left="864" w:right="864"/>
      <w:jc w:val="center"/>
    </w:pPr>
    <w:rPr>
      <w:i/>
      <w:iCs/>
      <w:color w:val="404040" w:themeColor="text1" w:themeTint="BF"/>
    </w:rPr>
  </w:style>
  <w:style w:type="character" w:customStyle="1" w:styleId="QuoteChar">
    <w:name w:val="Quote Char"/>
    <w:basedOn w:val="DefaultParagraphFont"/>
    <w:link w:val="Quote"/>
    <w:uiPriority w:val="29"/>
    <w:rsid w:val="00167B18"/>
    <w:rPr>
      <w:rFonts w:ascii="Times New Roman" w:eastAsia="Times New Roman" w:hAnsi="Times New Roman" w:cs="Times New Roman"/>
      <w:i/>
      <w:iCs/>
      <w:color w:val="404040" w:themeColor="text1" w:themeTint="BF"/>
      <w:sz w:val="24"/>
      <w:szCs w:val="24"/>
    </w:rPr>
  </w:style>
  <w:style w:type="paragraph" w:styleId="Salutation">
    <w:name w:val="Salutation"/>
    <w:basedOn w:val="Normal"/>
    <w:next w:val="Normal"/>
    <w:link w:val="SalutationChar"/>
    <w:uiPriority w:val="99"/>
    <w:semiHidden/>
    <w:unhideWhenUsed/>
    <w:rsid w:val="00167B18"/>
  </w:style>
  <w:style w:type="character" w:customStyle="1" w:styleId="SalutationChar">
    <w:name w:val="Salutation Char"/>
    <w:basedOn w:val="DefaultParagraphFont"/>
    <w:link w:val="Salutation"/>
    <w:uiPriority w:val="99"/>
    <w:semiHidden/>
    <w:rsid w:val="00167B18"/>
    <w:rPr>
      <w:rFonts w:ascii="Times New Roman" w:eastAsia="Times New Roman" w:hAnsi="Times New Roman" w:cs="Times New Roman"/>
      <w:sz w:val="24"/>
      <w:szCs w:val="24"/>
    </w:rPr>
  </w:style>
  <w:style w:type="paragraph" w:styleId="Signature">
    <w:name w:val="Signature"/>
    <w:basedOn w:val="Normal"/>
    <w:link w:val="SignatureChar"/>
    <w:uiPriority w:val="99"/>
    <w:semiHidden/>
    <w:unhideWhenUsed/>
    <w:rsid w:val="00167B18"/>
    <w:pPr>
      <w:spacing w:after="0"/>
      <w:ind w:left="4320"/>
    </w:pPr>
  </w:style>
  <w:style w:type="character" w:customStyle="1" w:styleId="SignatureChar">
    <w:name w:val="Signature Char"/>
    <w:basedOn w:val="DefaultParagraphFont"/>
    <w:link w:val="Signature"/>
    <w:uiPriority w:val="99"/>
    <w:semiHidden/>
    <w:rsid w:val="00167B18"/>
    <w:rPr>
      <w:rFonts w:ascii="Times New Roman" w:eastAsia="Times New Roman" w:hAnsi="Times New Roman" w:cs="Times New Roman"/>
      <w:sz w:val="24"/>
      <w:szCs w:val="24"/>
    </w:rPr>
  </w:style>
  <w:style w:type="paragraph" w:styleId="Subtitle">
    <w:name w:val="Subtitle"/>
    <w:basedOn w:val="Normal"/>
    <w:next w:val="Normal"/>
    <w:link w:val="SubtitleChar"/>
    <w:uiPriority w:val="11"/>
    <w:qFormat/>
    <w:rsid w:val="00167B18"/>
    <w:pPr>
      <w:numPr>
        <w:ilvl w:val="1"/>
      </w:numPr>
      <w:spacing w:after="160"/>
    </w:pPr>
    <w:rPr>
      <w:rFonts w:asciiTheme="minorHAnsi" w:eastAsiaTheme="minorEastAsia" w:hAnsiTheme="minorHAnsi" w:cstheme="minorBidi"/>
      <w:color w:val="5A5A5A" w:themeColor="text1" w:themeTint="A5"/>
      <w:spacing w:val="15"/>
      <w:sz w:val="22"/>
      <w:szCs w:val="22"/>
    </w:rPr>
  </w:style>
  <w:style w:type="character" w:customStyle="1" w:styleId="SubtitleChar">
    <w:name w:val="Subtitle Char"/>
    <w:basedOn w:val="DefaultParagraphFont"/>
    <w:link w:val="Subtitle"/>
    <w:uiPriority w:val="11"/>
    <w:rsid w:val="00167B18"/>
    <w:rPr>
      <w:rFonts w:eastAsiaTheme="minorEastAsia"/>
      <w:color w:val="5A5A5A" w:themeColor="text1" w:themeTint="A5"/>
      <w:spacing w:val="15"/>
    </w:rPr>
  </w:style>
  <w:style w:type="table" w:styleId="Table3Deffects1">
    <w:name w:val="Table 3D effects 1"/>
    <w:basedOn w:val="TableNormal"/>
    <w:uiPriority w:val="99"/>
    <w:semiHidden/>
    <w:unhideWhenUsed/>
    <w:rsid w:val="00167B18"/>
    <w:pPr>
      <w:spacing w:after="240" w:line="240" w:lineRule="auto"/>
    </w:pPr>
    <w:tblPr/>
    <w:tcPr>
      <w:shd w:val="solid" w:color="C0C0C0" w:fill="FFFFFF"/>
    </w:tcPr>
    <w:tblStylePr w:type="firstRow">
      <w:rPr>
        <w:b/>
        <w:bCs/>
        <w:color w:val="800080"/>
      </w:rPr>
      <w:tblPr/>
      <w:tcPr>
        <w:tcBorders>
          <w:bottom w:val="single" w:sz="6" w:space="0" w:color="808080"/>
          <w:tl2br w:val="none" w:sz="0" w:space="0" w:color="auto"/>
          <w:tr2bl w:val="none" w:sz="0" w:space="0" w:color="auto"/>
        </w:tcBorders>
      </w:tcPr>
    </w:tblStylePr>
    <w:tblStylePr w:type="lastRow">
      <w:tblPr/>
      <w:tcPr>
        <w:tcBorders>
          <w:top w:val="single" w:sz="6" w:space="0" w:color="FFFFFF"/>
          <w:tl2br w:val="none" w:sz="0" w:space="0" w:color="auto"/>
          <w:tr2bl w:val="none" w:sz="0" w:space="0" w:color="auto"/>
        </w:tcBorders>
      </w:tcPr>
    </w:tblStylePr>
    <w:tblStylePr w:type="firstCol">
      <w:rPr>
        <w:b/>
        <w:bCs/>
      </w:rPr>
      <w:tblPr/>
      <w:tcPr>
        <w:tcBorders>
          <w:right w:val="single" w:sz="6" w:space="0" w:color="808080"/>
          <w:tl2br w:val="none" w:sz="0" w:space="0" w:color="auto"/>
          <w:tr2bl w:val="none" w:sz="0" w:space="0" w:color="auto"/>
        </w:tcBorders>
      </w:tcPr>
    </w:tblStylePr>
    <w:tblStylePr w:type="lastCol">
      <w:tblPr/>
      <w:tcPr>
        <w:tcBorders>
          <w:left w:val="single" w:sz="6" w:space="0" w:color="FFFFFF"/>
          <w:tl2br w:val="none" w:sz="0" w:space="0" w:color="auto"/>
          <w:tr2bl w:val="none" w:sz="0" w:space="0" w:color="auto"/>
        </w:tcBorders>
      </w:tcPr>
    </w:tblStylePr>
    <w:tblStylePr w:type="neCell">
      <w:tblPr/>
      <w:tcPr>
        <w:tcBorders>
          <w:left w:val="none" w:sz="0" w:space="0" w:color="auto"/>
          <w:bottom w:val="none" w:sz="0" w:space="0" w:color="auto"/>
          <w:tl2br w:val="none" w:sz="0" w:space="0" w:color="auto"/>
          <w:tr2bl w:val="none" w:sz="0" w:space="0" w:color="auto"/>
        </w:tcBorders>
      </w:tcPr>
    </w:tblStylePr>
    <w:tblStylePr w:type="nwCell">
      <w:tblPr/>
      <w:tcPr>
        <w:tcBorders>
          <w:bottom w:val="none" w:sz="0" w:space="0" w:color="auto"/>
          <w:right w:val="none" w:sz="0" w:space="0" w:color="auto"/>
          <w:tl2br w:val="none" w:sz="0" w:space="0" w:color="auto"/>
          <w:tr2bl w:val="none" w:sz="0" w:space="0" w:color="auto"/>
        </w:tcBorders>
      </w:tcPr>
    </w:tblStylePr>
    <w:tblStylePr w:type="seCell">
      <w:tblPr/>
      <w:tcPr>
        <w:tcBorders>
          <w:top w:val="none" w:sz="0" w:space="0" w:color="auto"/>
          <w:left w:val="none" w:sz="0" w:space="0" w:color="auto"/>
          <w:tl2br w:val="none" w:sz="0" w:space="0" w:color="auto"/>
          <w:tr2bl w:val="none" w:sz="0" w:space="0" w:color="auto"/>
        </w:tcBorders>
      </w:tcPr>
    </w:tblStylePr>
    <w:tblStylePr w:type="swCell">
      <w:rPr>
        <w:color w:val="000080"/>
      </w:rPr>
      <w:tblPr/>
      <w:tcPr>
        <w:tcBorders>
          <w:top w:val="none" w:sz="0" w:space="0" w:color="auto"/>
          <w:right w:val="none" w:sz="0" w:space="0" w:color="auto"/>
          <w:tl2br w:val="none" w:sz="0" w:space="0" w:color="auto"/>
          <w:tr2bl w:val="none" w:sz="0" w:space="0" w:color="auto"/>
        </w:tcBorders>
      </w:tcPr>
    </w:tblStylePr>
  </w:style>
  <w:style w:type="table" w:styleId="Table3Deffects2">
    <w:name w:val="Table 3D effects 2"/>
    <w:basedOn w:val="TableNormal"/>
    <w:uiPriority w:val="99"/>
    <w:semiHidden/>
    <w:unhideWhenUsed/>
    <w:rsid w:val="00167B18"/>
    <w:pPr>
      <w:spacing w:after="240" w:line="240" w:lineRule="auto"/>
    </w:pPr>
    <w:tblPr>
      <w:tblStyleRowBandSize w:val="1"/>
    </w:tblPr>
    <w:tcPr>
      <w:shd w:val="solid" w:color="C0C0C0" w:fill="FFFFFF"/>
    </w:tcPr>
    <w:tblStylePr w:type="firstRow">
      <w:rPr>
        <w:b/>
        <w:bCs/>
      </w:rPr>
      <w:tblPr/>
      <w:tcPr>
        <w:tcBorders>
          <w:tl2br w:val="none" w:sz="0" w:space="0" w:color="auto"/>
          <w:tr2bl w:val="none" w:sz="0" w:space="0" w:color="auto"/>
        </w:tcBorders>
      </w:tcPr>
    </w:tblStylePr>
    <w:tblStylePr w:type="firstCol">
      <w:tblPr/>
      <w:tcPr>
        <w:tcBorders>
          <w:top w:val="none" w:sz="0" w:space="0" w:color="auto"/>
          <w:bottom w:val="none" w:sz="0" w:space="0" w:color="auto"/>
          <w:right w:val="single" w:sz="6" w:space="0" w:color="808080"/>
          <w:tl2br w:val="none" w:sz="0" w:space="0" w:color="auto"/>
          <w:tr2bl w:val="none" w:sz="0" w:space="0" w:color="auto"/>
        </w:tcBorders>
      </w:tcPr>
    </w:tblStylePr>
    <w:tblStylePr w:type="lastCol">
      <w:tblPr/>
      <w:tcPr>
        <w:tcBorders>
          <w:right w:val="single" w:sz="6" w:space="0" w:color="FFFFFF"/>
          <w:tl2br w:val="none" w:sz="0" w:space="0" w:color="auto"/>
          <w:tr2bl w:val="none" w:sz="0" w:space="0" w:color="auto"/>
        </w:tcBorders>
      </w:tcPr>
    </w:tblStylePr>
    <w:tblStylePr w:type="band1Horz">
      <w:tblPr/>
      <w:tcPr>
        <w:tcBorders>
          <w:top w:val="single" w:sz="6" w:space="0" w:color="808080"/>
          <w:bottom w:val="single" w:sz="6" w:space="0" w:color="FFFFFF"/>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le3Deffects3">
    <w:name w:val="Table 3D effects 3"/>
    <w:basedOn w:val="TableNormal"/>
    <w:uiPriority w:val="99"/>
    <w:semiHidden/>
    <w:unhideWhenUsed/>
    <w:rsid w:val="00167B18"/>
    <w:pPr>
      <w:spacing w:after="240" w:line="240" w:lineRule="auto"/>
    </w:pPr>
    <w:tblPr>
      <w:tblStyleRowBandSize w:val="1"/>
      <w:tblStyleColBandSize w:val="1"/>
    </w:tblPr>
    <w:tblStylePr w:type="firstRow">
      <w:rPr>
        <w:b/>
        <w:bCs/>
      </w:rPr>
      <w:tblPr/>
      <w:tcPr>
        <w:tcBorders>
          <w:tl2br w:val="none" w:sz="0" w:space="0" w:color="auto"/>
          <w:tr2bl w:val="none" w:sz="0" w:space="0" w:color="auto"/>
        </w:tcBorders>
      </w:tcPr>
    </w:tblStylePr>
    <w:tblStylePr w:type="firstCol">
      <w:tblPr/>
      <w:tcPr>
        <w:tcBorders>
          <w:top w:val="none" w:sz="0" w:space="0" w:color="auto"/>
          <w:bottom w:val="none" w:sz="0" w:space="0" w:color="auto"/>
          <w:right w:val="single" w:sz="6" w:space="0" w:color="808080"/>
          <w:tl2br w:val="none" w:sz="0" w:space="0" w:color="auto"/>
          <w:tr2bl w:val="none" w:sz="0" w:space="0" w:color="auto"/>
        </w:tcBorders>
      </w:tcPr>
    </w:tblStylePr>
    <w:tblStylePr w:type="lastCol">
      <w:tblPr/>
      <w:tcPr>
        <w:tcBorders>
          <w:right w:val="single" w:sz="6" w:space="0" w:color="FFFFFF"/>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Pr/>
      <w:tcPr>
        <w:shd w:val="pct50" w:color="C0C0C0" w:fill="FFFFFF"/>
      </w:tcPr>
    </w:tblStylePr>
    <w:tblStylePr w:type="band1Horz">
      <w:tblPr/>
      <w:tcPr>
        <w:tcBorders>
          <w:top w:val="single" w:sz="6" w:space="0" w:color="808080"/>
          <w:bottom w:val="single" w:sz="6" w:space="0" w:color="FFFFFF"/>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leClassic1">
    <w:name w:val="Table Classic 1"/>
    <w:basedOn w:val="TableNormal"/>
    <w:uiPriority w:val="99"/>
    <w:semiHidden/>
    <w:unhideWhenUsed/>
    <w:rsid w:val="00167B18"/>
    <w:pPr>
      <w:spacing w:after="240" w:line="240" w:lineRule="auto"/>
    </w:pPr>
    <w:tblPr>
      <w:tblBorders>
        <w:top w:val="single" w:sz="12" w:space="0" w:color="000000"/>
        <w:bottom w:val="single" w:sz="12" w:space="0" w:color="000000"/>
      </w:tblBorders>
    </w:tblPr>
    <w:tcPr>
      <w:shd w:val="clear" w:color="auto" w:fill="auto"/>
    </w:tcPr>
    <w:tblStylePr w:type="firstRow">
      <w:rPr>
        <w:i/>
        <w:iCs/>
      </w:rPr>
      <w:tblPr/>
      <w:tcPr>
        <w:tcBorders>
          <w:bottom w:val="single" w:sz="6" w:space="0" w:color="000000"/>
          <w:tl2br w:val="none" w:sz="0" w:space="0" w:color="auto"/>
          <w:tr2bl w:val="none" w:sz="0" w:space="0" w:color="auto"/>
        </w:tcBorders>
      </w:tcPr>
    </w:tblStylePr>
    <w:tblStylePr w:type="lastRow">
      <w:rPr>
        <w:color w:val="auto"/>
      </w:rPr>
      <w:tblPr/>
      <w:tcPr>
        <w:tcBorders>
          <w:top w:val="single" w:sz="6" w:space="0" w:color="000000"/>
          <w:tl2br w:val="none" w:sz="0" w:space="0" w:color="auto"/>
          <w:tr2bl w:val="none" w:sz="0" w:space="0" w:color="auto"/>
        </w:tcBorders>
      </w:tcPr>
    </w:tblStylePr>
    <w:tblStylePr w:type="firstCol">
      <w:tblPr/>
      <w:tcPr>
        <w:tcBorders>
          <w:right w:val="single" w:sz="6" w:space="0" w:color="000000"/>
          <w:tl2br w:val="none" w:sz="0" w:space="0" w:color="auto"/>
          <w:tr2bl w:val="none" w:sz="0" w:space="0" w:color="auto"/>
        </w:tcBorders>
      </w:tcPr>
    </w:tblStylePr>
    <w:tblStylePr w:type="neCell">
      <w:rPr>
        <w:b/>
        <w:bCs/>
        <w:i w:val="0"/>
        <w:iCs w:val="0"/>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leClassic2">
    <w:name w:val="Table Classic 2"/>
    <w:basedOn w:val="TableNormal"/>
    <w:uiPriority w:val="99"/>
    <w:semiHidden/>
    <w:unhideWhenUsed/>
    <w:rsid w:val="00167B18"/>
    <w:pPr>
      <w:spacing w:after="240" w:line="240" w:lineRule="auto"/>
    </w:pPr>
    <w:tblPr>
      <w:tblBorders>
        <w:top w:val="single" w:sz="12" w:space="0" w:color="000000"/>
        <w:bottom w:val="single" w:sz="12" w:space="0" w:color="000000"/>
      </w:tblBorders>
    </w:tblPr>
    <w:tcPr>
      <w:shd w:val="clear" w:color="auto" w:fill="auto"/>
    </w:tcPr>
    <w:tblStylePr w:type="firstRow">
      <w:rPr>
        <w:color w:val="FFFFFF"/>
      </w:rPr>
      <w:tblPr/>
      <w:tcPr>
        <w:tcBorders>
          <w:bottom w:val="single" w:sz="6" w:space="0" w:color="000000"/>
          <w:tl2br w:val="none" w:sz="0" w:space="0" w:color="auto"/>
          <w:tr2bl w:val="none" w:sz="0" w:space="0" w:color="auto"/>
        </w:tcBorders>
        <w:shd w:val="solid" w:color="800080" w:fill="FFFFFF"/>
      </w:tcPr>
    </w:tblStylePr>
    <w:tblStylePr w:type="lastRow">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shd w:val="solid" w:color="C0C0C0" w:fill="FFFFFF"/>
      </w:tcPr>
    </w:tblStylePr>
    <w:tblStylePr w:type="neCell">
      <w:rPr>
        <w:b/>
        <w:bCs/>
      </w:rPr>
      <w:tblPr/>
      <w:tcPr>
        <w:tcBorders>
          <w:tl2br w:val="none" w:sz="0" w:space="0" w:color="auto"/>
          <w:tr2bl w:val="none" w:sz="0" w:space="0" w:color="auto"/>
        </w:tcBorders>
      </w:tcPr>
    </w:tblStylePr>
    <w:tblStylePr w:type="nwCell">
      <w:tblPr/>
      <w:tcPr>
        <w:tcBorders>
          <w:tl2br w:val="none" w:sz="0" w:space="0" w:color="auto"/>
          <w:tr2bl w:val="none" w:sz="0" w:space="0" w:color="auto"/>
        </w:tcBorders>
        <w:shd w:val="solid" w:color="800080" w:fill="FFFFFF"/>
      </w:tcPr>
    </w:tblStylePr>
    <w:tblStylePr w:type="swCell">
      <w:rPr>
        <w:color w:val="000080"/>
      </w:rPr>
      <w:tblPr/>
      <w:tcPr>
        <w:tcBorders>
          <w:tl2br w:val="none" w:sz="0" w:space="0" w:color="auto"/>
          <w:tr2bl w:val="none" w:sz="0" w:space="0" w:color="auto"/>
        </w:tcBorders>
      </w:tcPr>
    </w:tblStylePr>
  </w:style>
  <w:style w:type="table" w:styleId="TableClassic3">
    <w:name w:val="Table Classic 3"/>
    <w:basedOn w:val="TableNormal"/>
    <w:uiPriority w:val="99"/>
    <w:semiHidden/>
    <w:unhideWhenUsed/>
    <w:rsid w:val="00167B18"/>
    <w:pPr>
      <w:spacing w:after="240" w:line="240" w:lineRule="auto"/>
    </w:pPr>
    <w:rPr>
      <w:color w:val="000080"/>
    </w:rPr>
    <w:tblPr>
      <w:tblBorders>
        <w:top w:val="single" w:sz="12" w:space="0" w:color="000000"/>
        <w:left w:val="single" w:sz="12" w:space="0" w:color="000000"/>
        <w:bottom w:val="single" w:sz="12" w:space="0" w:color="000000"/>
        <w:right w:val="single" w:sz="12" w:space="0" w:color="000000"/>
      </w:tblBorders>
    </w:tblPr>
    <w:tcPr>
      <w:shd w:val="solid" w:color="C0C0C0" w:fill="FFFFFF"/>
    </w:tcPr>
    <w:tblStylePr w:type="firstRow">
      <w:rPr>
        <w:b/>
        <w:bCs/>
        <w:i/>
        <w:iCs/>
        <w:color w:val="FFFFFF"/>
      </w:rPr>
      <w:tblPr/>
      <w:tcPr>
        <w:tcBorders>
          <w:bottom w:val="single" w:sz="6" w:space="0" w:color="000000"/>
          <w:tl2br w:val="none" w:sz="0" w:space="0" w:color="auto"/>
          <w:tr2bl w:val="none" w:sz="0" w:space="0" w:color="auto"/>
        </w:tcBorders>
        <w:shd w:val="solid" w:color="000080" w:fill="FFFFFF"/>
      </w:tcPr>
    </w:tblStylePr>
    <w:tblStylePr w:type="lastRow">
      <w:rPr>
        <w:color w:val="000080"/>
      </w:rPr>
      <w:tblPr/>
      <w:tcPr>
        <w:tcBorders>
          <w:top w:val="single" w:sz="12" w:space="0" w:color="000000"/>
          <w:tl2br w:val="none" w:sz="0" w:space="0" w:color="auto"/>
          <w:tr2bl w:val="none" w:sz="0" w:space="0" w:color="auto"/>
        </w:tcBorders>
        <w:shd w:val="solid" w:color="FFFFFF" w:fill="FFFFFF"/>
      </w:tcPr>
    </w:tblStylePr>
    <w:tblStylePr w:type="firstCol">
      <w:rPr>
        <w:b/>
        <w:bCs/>
        <w:color w:val="000000"/>
      </w:rPr>
      <w:tblPr/>
      <w:tcPr>
        <w:tcBorders>
          <w:tl2br w:val="none" w:sz="0" w:space="0" w:color="auto"/>
          <w:tr2bl w:val="none" w:sz="0" w:space="0" w:color="auto"/>
        </w:tcBorders>
      </w:tcPr>
    </w:tblStylePr>
  </w:style>
  <w:style w:type="table" w:styleId="TableClassic4">
    <w:name w:val="Table Classic 4"/>
    <w:basedOn w:val="TableNormal"/>
    <w:uiPriority w:val="99"/>
    <w:semiHidden/>
    <w:unhideWhenUsed/>
    <w:rsid w:val="00167B18"/>
    <w:pPr>
      <w:spacing w:after="240" w:line="240" w:lineRule="auto"/>
    </w:pPr>
    <w:tblPr>
      <w:tblBorders>
        <w:top w:val="single" w:sz="12" w:space="0" w:color="000000"/>
        <w:left w:val="single" w:sz="6" w:space="0" w:color="000000"/>
        <w:bottom w:val="single" w:sz="12" w:space="0" w:color="000000"/>
        <w:right w:val="single" w:sz="6" w:space="0" w:color="000000"/>
      </w:tblBorders>
    </w:tblPr>
    <w:tcPr>
      <w:shd w:val="clear" w:color="auto" w:fill="auto"/>
    </w:tcPr>
    <w:tblStylePr w:type="firstRow">
      <w:rPr>
        <w:b/>
        <w:bCs/>
        <w:i/>
        <w:iCs/>
        <w:color w:val="FFFFFF"/>
      </w:rPr>
      <w:tblPr/>
      <w:tcPr>
        <w:tcBorders>
          <w:bottom w:val="single" w:sz="6" w:space="0" w:color="000000"/>
          <w:tl2br w:val="none" w:sz="0" w:space="0" w:color="auto"/>
          <w:tr2bl w:val="none" w:sz="0" w:space="0" w:color="auto"/>
        </w:tcBorders>
        <w:shd w:val="pct50" w:color="000080" w:fill="FFFFFF"/>
      </w:tcPr>
    </w:tblStylePr>
    <w:tblStylePr w:type="lastRow">
      <w:rPr>
        <w:color w:val="000080"/>
      </w:rPr>
      <w:tblPr/>
      <w:tcPr>
        <w:tcBorders>
          <w:bottom w:val="single" w:sz="6" w:space="0" w:color="000000"/>
          <w:tl2br w:val="none" w:sz="0" w:space="0" w:color="auto"/>
          <w:tr2bl w:val="none" w:sz="0" w:space="0" w:color="auto"/>
        </w:tcBorders>
        <w:shd w:val="pct50" w:color="000000" w:fill="FFFFFF"/>
      </w:tcPr>
    </w:tblStylePr>
    <w:tblStylePr w:type="firstCol">
      <w:rPr>
        <w:b/>
        <w:bCs/>
      </w:rPr>
      <w:tblPr/>
      <w:tcPr>
        <w:tcBorders>
          <w:tl2br w:val="none" w:sz="0" w:space="0" w:color="auto"/>
          <w:tr2bl w:val="none" w:sz="0" w:space="0" w:color="auto"/>
        </w:tcBorders>
      </w:tcPr>
    </w:tblStylePr>
    <w:tblStylePr w:type="nwCell">
      <w:rPr>
        <w:b/>
        <w:bCs/>
      </w:rPr>
      <w:tblPr/>
      <w:tcPr>
        <w:tcBorders>
          <w:tl2br w:val="none" w:sz="0" w:space="0" w:color="auto"/>
          <w:tr2bl w:val="none" w:sz="0" w:space="0" w:color="auto"/>
        </w:tcBorders>
      </w:tcPr>
    </w:tblStylePr>
    <w:tblStylePr w:type="swCell">
      <w:rPr>
        <w:color w:val="000080"/>
      </w:rPr>
      <w:tblPr/>
      <w:tcPr>
        <w:tcBorders>
          <w:tl2br w:val="none" w:sz="0" w:space="0" w:color="auto"/>
          <w:tr2bl w:val="none" w:sz="0" w:space="0" w:color="auto"/>
        </w:tcBorders>
      </w:tcPr>
    </w:tblStylePr>
  </w:style>
  <w:style w:type="table" w:styleId="TableColorful1">
    <w:name w:val="Table Colorful 1"/>
    <w:basedOn w:val="TableNormal"/>
    <w:uiPriority w:val="99"/>
    <w:semiHidden/>
    <w:unhideWhenUsed/>
    <w:rsid w:val="00167B18"/>
    <w:pPr>
      <w:spacing w:after="240" w:line="240" w:lineRule="auto"/>
    </w:pPr>
    <w:rPr>
      <w:color w:val="FFFFFF"/>
    </w:rPr>
    <w:tblPr>
      <w:tblBorders>
        <w:top w:val="single" w:sz="12" w:space="0" w:color="008080"/>
        <w:left w:val="single" w:sz="12" w:space="0" w:color="008080"/>
        <w:bottom w:val="single" w:sz="12" w:space="0" w:color="008080"/>
        <w:right w:val="single" w:sz="12" w:space="0" w:color="008080"/>
        <w:insideH w:val="single" w:sz="6" w:space="0" w:color="00FFFF"/>
      </w:tblBorders>
    </w:tblPr>
    <w:tcPr>
      <w:shd w:val="solid" w:color="008080" w:fill="FFFFFF"/>
    </w:tcPr>
    <w:tblStylePr w:type="firstRow">
      <w:rPr>
        <w:b/>
        <w:bCs/>
        <w:i/>
        <w:iCs/>
      </w:rPr>
      <w:tblPr/>
      <w:tcPr>
        <w:tcBorders>
          <w:tl2br w:val="none" w:sz="0" w:space="0" w:color="auto"/>
          <w:tr2bl w:val="none" w:sz="0" w:space="0" w:color="auto"/>
        </w:tcBorders>
        <w:shd w:val="solid" w:color="000000" w:fill="FFFFFF"/>
      </w:tcPr>
    </w:tblStylePr>
    <w:tblStylePr w:type="firstCol">
      <w:rPr>
        <w:b/>
        <w:bCs/>
        <w:i/>
        <w:iCs/>
      </w:rPr>
      <w:tblPr/>
      <w:tcPr>
        <w:tcBorders>
          <w:tl2br w:val="none" w:sz="0" w:space="0" w:color="auto"/>
          <w:tr2bl w:val="none" w:sz="0" w:space="0" w:color="auto"/>
        </w:tcBorders>
        <w:shd w:val="solid" w:color="000080" w:fill="FFFFFF"/>
      </w:tcPr>
    </w:tblStylePr>
    <w:tblStylePr w:type="nwCell">
      <w:tblPr/>
      <w:tcPr>
        <w:tcBorders>
          <w:tl2br w:val="none" w:sz="0" w:space="0" w:color="auto"/>
          <w:tr2bl w:val="none" w:sz="0" w:space="0" w:color="auto"/>
        </w:tcBorders>
        <w:shd w:val="solid" w:color="000000" w:fill="FFFFFF"/>
      </w:tcPr>
    </w:tblStylePr>
    <w:tblStylePr w:type="swCell">
      <w:rPr>
        <w:b/>
        <w:bCs/>
        <w:i w:val="0"/>
        <w:iCs w:val="0"/>
      </w:rPr>
      <w:tblPr/>
      <w:tcPr>
        <w:tcBorders>
          <w:tl2br w:val="none" w:sz="0" w:space="0" w:color="auto"/>
          <w:tr2bl w:val="none" w:sz="0" w:space="0" w:color="auto"/>
        </w:tcBorders>
      </w:tcPr>
    </w:tblStylePr>
  </w:style>
  <w:style w:type="table" w:styleId="TableColorful2">
    <w:name w:val="Table Colorful 2"/>
    <w:basedOn w:val="TableNormal"/>
    <w:uiPriority w:val="99"/>
    <w:semiHidden/>
    <w:unhideWhenUsed/>
    <w:rsid w:val="00167B18"/>
    <w:pPr>
      <w:spacing w:after="240" w:line="240" w:lineRule="auto"/>
    </w:pPr>
    <w:tblPr>
      <w:tblBorders>
        <w:bottom w:val="single" w:sz="12" w:space="0" w:color="000000"/>
      </w:tblBorders>
    </w:tblPr>
    <w:tcPr>
      <w:shd w:val="pct20" w:color="FFFF00" w:fill="FFFFFF"/>
    </w:tcPr>
    <w:tblStylePr w:type="firstRow">
      <w:rPr>
        <w:b/>
        <w:bCs/>
        <w:i/>
        <w:iCs/>
        <w:color w:val="FFFFFF"/>
      </w:rPr>
      <w:tblPr/>
      <w:tcPr>
        <w:tcBorders>
          <w:bottom w:val="single" w:sz="12" w:space="0" w:color="000000"/>
          <w:tl2br w:val="none" w:sz="0" w:space="0" w:color="auto"/>
          <w:tr2bl w:val="none" w:sz="0" w:space="0" w:color="auto"/>
        </w:tcBorders>
        <w:shd w:val="solid" w:color="800000" w:fill="FFFFFF"/>
      </w:tcPr>
    </w:tblStylePr>
    <w:tblStylePr w:type="firstCol">
      <w:rPr>
        <w:b/>
        <w:bCs/>
        <w:i/>
        <w:iCs/>
      </w:rPr>
      <w:tblPr/>
      <w:tcPr>
        <w:tcBorders>
          <w:tl2br w:val="none" w:sz="0" w:space="0" w:color="auto"/>
          <w:tr2bl w:val="none" w:sz="0" w:space="0" w:color="auto"/>
        </w:tcBorders>
      </w:tcPr>
    </w:tblStylePr>
    <w:tblStylePr w:type="lastCol">
      <w:tblPr/>
      <w:tcPr>
        <w:tcBorders>
          <w:tl2br w:val="none" w:sz="0" w:space="0" w:color="auto"/>
          <w:tr2bl w:val="none" w:sz="0" w:space="0" w:color="auto"/>
        </w:tcBorders>
        <w:shd w:val="solid" w:color="C0C0C0" w:fill="FFFFFF"/>
      </w:tcPr>
    </w:tblStylePr>
    <w:tblStylePr w:type="swCell">
      <w:rPr>
        <w:b/>
        <w:bCs/>
        <w:i w:val="0"/>
        <w:iCs w:val="0"/>
      </w:rPr>
      <w:tblPr/>
      <w:tcPr>
        <w:tcBorders>
          <w:tl2br w:val="none" w:sz="0" w:space="0" w:color="auto"/>
          <w:tr2bl w:val="none" w:sz="0" w:space="0" w:color="auto"/>
        </w:tcBorders>
      </w:tcPr>
    </w:tblStylePr>
  </w:style>
  <w:style w:type="table" w:styleId="TableColorful3">
    <w:name w:val="Table Colorful 3"/>
    <w:basedOn w:val="TableNormal"/>
    <w:uiPriority w:val="99"/>
    <w:semiHidden/>
    <w:unhideWhenUsed/>
    <w:rsid w:val="00167B18"/>
    <w:pPr>
      <w:spacing w:after="240" w:line="240" w:lineRule="auto"/>
    </w:pPr>
    <w:tblPr>
      <w:tblBorders>
        <w:top w:val="single" w:sz="18" w:space="0" w:color="000000"/>
        <w:left w:val="single" w:sz="18" w:space="0" w:color="000000"/>
        <w:bottom w:val="single" w:sz="18" w:space="0" w:color="000000"/>
        <w:right w:val="single" w:sz="18" w:space="0" w:color="000000"/>
        <w:insideH w:val="single" w:sz="6" w:space="0" w:color="C0C0C0"/>
      </w:tblBorders>
    </w:tblPr>
    <w:tcPr>
      <w:shd w:val="pct25" w:color="008080" w:fill="FFFFFF"/>
    </w:tcPr>
    <w:tblStylePr w:type="firstRow">
      <w:tblPr/>
      <w:tcPr>
        <w:tcBorders>
          <w:bottom w:val="single" w:sz="6" w:space="0" w:color="000000"/>
          <w:tl2br w:val="none" w:sz="0" w:space="0" w:color="auto"/>
          <w:tr2bl w:val="none" w:sz="0" w:space="0" w:color="auto"/>
        </w:tcBorders>
        <w:shd w:val="solid" w:color="008080" w:fill="FFFFFF"/>
      </w:tcPr>
    </w:tblStylePr>
    <w:tblStylePr w:type="firstCol">
      <w:tblPr/>
      <w:tcPr>
        <w:tcBorders>
          <w:left w:val="single" w:sz="36" w:space="0" w:color="000000"/>
          <w:right w:val="single" w:sz="6" w:space="0" w:color="000000"/>
          <w:tl2br w:val="none" w:sz="0" w:space="0" w:color="auto"/>
          <w:tr2bl w:val="none" w:sz="0" w:space="0" w:color="auto"/>
        </w:tcBorders>
        <w:shd w:val="solid" w:color="008080" w:fill="FFFFFF"/>
      </w:tcPr>
    </w:tblStylePr>
    <w:tblStylePr w:type="nwCell">
      <w:rPr>
        <w:b/>
        <w:bCs/>
        <w:color w:val="FFFFFF"/>
      </w:rPr>
      <w:tblPr/>
      <w:tcPr>
        <w:tcBorders>
          <w:tl2br w:val="none" w:sz="0" w:space="0" w:color="auto"/>
          <w:tr2bl w:val="none" w:sz="0" w:space="0" w:color="auto"/>
        </w:tcBorders>
        <w:shd w:val="solid" w:color="000000" w:fill="FFFFFF"/>
      </w:tcPr>
    </w:tblStylePr>
  </w:style>
  <w:style w:type="table" w:styleId="TableColumns1">
    <w:name w:val="Table Columns 1"/>
    <w:basedOn w:val="TableNormal"/>
    <w:uiPriority w:val="99"/>
    <w:semiHidden/>
    <w:unhideWhenUsed/>
    <w:rsid w:val="00167B18"/>
    <w:pPr>
      <w:spacing w:after="240" w:line="240" w:lineRule="auto"/>
    </w:pPr>
    <w:rPr>
      <w:b/>
      <w:bCs/>
    </w:rPr>
    <w:tblPr>
      <w:tblStyleColBandSize w:val="1"/>
      <w:tblBorders>
        <w:top w:val="single" w:sz="12" w:space="0" w:color="000000"/>
        <w:left w:val="single" w:sz="12" w:space="0" w:color="000000"/>
        <w:bottom w:val="single" w:sz="12" w:space="0" w:color="000000"/>
        <w:right w:val="single" w:sz="12" w:space="0" w:color="000000"/>
      </w:tblBorders>
    </w:tblPr>
    <w:tblStylePr w:type="firstRow">
      <w:rPr>
        <w:b w:val="0"/>
        <w:bCs w:val="0"/>
      </w:rPr>
      <w:tblPr/>
      <w:tcPr>
        <w:tcBorders>
          <w:bottom w:val="double" w:sz="6" w:space="0" w:color="000000"/>
          <w:tl2br w:val="none" w:sz="0" w:space="0" w:color="auto"/>
          <w:tr2bl w:val="none" w:sz="0" w:space="0" w:color="auto"/>
        </w:tcBorders>
      </w:tcPr>
    </w:tblStylePr>
    <w:tblStylePr w:type="lastRow">
      <w:rPr>
        <w:b w:val="0"/>
        <w:bCs w:val="0"/>
      </w:rPr>
      <w:tblPr/>
      <w:tcPr>
        <w:tcBorders>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pct25" w:color="000000" w:fill="FFFFFF"/>
      </w:tcPr>
    </w:tblStylePr>
    <w:tblStylePr w:type="band2Vert">
      <w:rPr>
        <w:color w:val="auto"/>
      </w:rPr>
      <w:tblPr/>
      <w:tcPr>
        <w:shd w:val="pct25" w:color="FFFF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leColumns2">
    <w:name w:val="Table Columns 2"/>
    <w:basedOn w:val="TableNormal"/>
    <w:uiPriority w:val="99"/>
    <w:semiHidden/>
    <w:unhideWhenUsed/>
    <w:rsid w:val="00167B18"/>
    <w:pPr>
      <w:spacing w:after="240" w:line="240" w:lineRule="auto"/>
    </w:pPr>
    <w:rPr>
      <w:b/>
      <w:bCs/>
    </w:rPr>
    <w:tblPr>
      <w:tblStyleColBandSize w:val="1"/>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l2br w:val="none" w:sz="0" w:space="0" w:color="auto"/>
          <w:tr2bl w:val="none" w:sz="0" w:space="0" w:color="auto"/>
        </w:tcBorders>
      </w:tcPr>
    </w:tblStylePr>
    <w:tblStylePr w:type="firstCol">
      <w:rPr>
        <w:b w:val="0"/>
        <w:bCs w:val="0"/>
        <w:color w:val="00000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pct30" w:color="000000" w:fill="FFFFFF"/>
      </w:tcPr>
    </w:tblStylePr>
    <w:tblStylePr w:type="band2Vert">
      <w:rPr>
        <w:color w:val="auto"/>
      </w:rPr>
      <w:tblPr/>
      <w:tcPr>
        <w:shd w:val="pct25" w:color="00FF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leColumns3">
    <w:name w:val="Table Columns 3"/>
    <w:basedOn w:val="TableNormal"/>
    <w:uiPriority w:val="99"/>
    <w:semiHidden/>
    <w:unhideWhenUsed/>
    <w:rsid w:val="00167B18"/>
    <w:pPr>
      <w:spacing w:after="240" w:line="240" w:lineRule="auto"/>
    </w:pPr>
    <w:rPr>
      <w:b/>
      <w:bCs/>
    </w:rPr>
    <w:tblPr>
      <w:tblStyleColBandSize w:val="1"/>
      <w:tblBorders>
        <w:top w:val="single" w:sz="6" w:space="0" w:color="000080"/>
        <w:left w:val="single" w:sz="6" w:space="0" w:color="000080"/>
        <w:bottom w:val="single" w:sz="6" w:space="0" w:color="000080"/>
        <w:right w:val="single" w:sz="6" w:space="0" w:color="000080"/>
        <w:insideV w:val="single" w:sz="6" w:space="0" w:color="000080"/>
      </w:tblBorders>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op w:val="single" w:sz="6" w:space="0" w:color="000080"/>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Pr/>
      <w:tcPr>
        <w:shd w:val="pct10" w:color="000000" w:fill="FFFFFF"/>
      </w:tcPr>
    </w:tblStylePr>
    <w:tblStylePr w:type="neCell">
      <w:rPr>
        <w:b/>
        <w:bCs/>
      </w:rPr>
      <w:tblPr/>
      <w:tcPr>
        <w:tcBorders>
          <w:tl2br w:val="none" w:sz="0" w:space="0" w:color="auto"/>
          <w:tr2bl w:val="none" w:sz="0" w:space="0" w:color="auto"/>
        </w:tcBorders>
      </w:tcPr>
    </w:tblStylePr>
  </w:style>
  <w:style w:type="table" w:styleId="TableColumns4">
    <w:name w:val="Table Columns 4"/>
    <w:basedOn w:val="TableNormal"/>
    <w:uiPriority w:val="99"/>
    <w:semiHidden/>
    <w:unhideWhenUsed/>
    <w:rsid w:val="00167B18"/>
    <w:pPr>
      <w:spacing w:after="240" w:line="240" w:lineRule="auto"/>
    </w:pPr>
    <w:tblPr>
      <w:tblStyleColBandSize w:val="1"/>
    </w:tblPr>
    <w:tblStylePr w:type="firstRow">
      <w:rPr>
        <w:color w:val="FFFFFF"/>
      </w:rPr>
      <w:tblPr/>
      <w:tcPr>
        <w:tcBorders>
          <w:tl2br w:val="none" w:sz="0" w:space="0" w:color="auto"/>
          <w:tr2bl w:val="none" w:sz="0" w:space="0" w:color="auto"/>
        </w:tcBorders>
        <w:shd w:val="solid" w:color="000000" w:fill="FFFFFF"/>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pct50" w:color="008080" w:fill="FFFFFF"/>
      </w:tcPr>
    </w:tblStylePr>
    <w:tblStylePr w:type="band2Vert">
      <w:rPr>
        <w:color w:val="auto"/>
      </w:rPr>
      <w:tblPr/>
      <w:tcPr>
        <w:shd w:val="pct10" w:color="000000" w:fill="FFFFFF"/>
      </w:tcPr>
    </w:tblStylePr>
  </w:style>
  <w:style w:type="table" w:styleId="TableColumns5">
    <w:name w:val="Table Columns 5"/>
    <w:basedOn w:val="TableNormal"/>
    <w:uiPriority w:val="99"/>
    <w:semiHidden/>
    <w:unhideWhenUsed/>
    <w:rsid w:val="00167B18"/>
    <w:pPr>
      <w:spacing w:after="240" w:line="240" w:lineRule="auto"/>
    </w:pPr>
    <w:tblPr>
      <w:tblStyleColBandSize w:val="1"/>
      <w:tblBorders>
        <w:top w:val="single" w:sz="12" w:space="0" w:color="808080"/>
        <w:left w:val="single" w:sz="12" w:space="0" w:color="808080"/>
        <w:bottom w:val="single" w:sz="12" w:space="0" w:color="808080"/>
        <w:right w:val="single" w:sz="12" w:space="0" w:color="808080"/>
        <w:insideV w:val="single" w:sz="6" w:space="0" w:color="C0C0C0"/>
      </w:tblBorders>
    </w:tblPr>
    <w:tblStylePr w:type="firstRow">
      <w:rPr>
        <w:b/>
        <w:bCs/>
        <w:i/>
        <w:iCs/>
      </w:rPr>
      <w:tblPr/>
      <w:tcPr>
        <w:tcBorders>
          <w:bottom w:val="single" w:sz="6" w:space="0" w:color="808080"/>
          <w:tl2br w:val="none" w:sz="0" w:space="0" w:color="auto"/>
          <w:tr2bl w:val="none" w:sz="0" w:space="0" w:color="auto"/>
        </w:tcBorders>
      </w:tcPr>
    </w:tblStylePr>
    <w:tblStylePr w:type="lastRow">
      <w:rPr>
        <w:b/>
        <w:bCs/>
      </w:rPr>
      <w:tblPr/>
      <w:tcPr>
        <w:tcBorders>
          <w:top w:val="single" w:sz="6" w:space="0" w:color="80808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StylePr>
  </w:style>
  <w:style w:type="table" w:styleId="TableContemporary">
    <w:name w:val="Table Contemporary"/>
    <w:basedOn w:val="TableNormal"/>
    <w:uiPriority w:val="99"/>
    <w:semiHidden/>
    <w:unhideWhenUsed/>
    <w:rsid w:val="00167B18"/>
    <w:pPr>
      <w:spacing w:after="240" w:line="240" w:lineRule="auto"/>
    </w:pPr>
    <w:tblPr>
      <w:tblStyleRowBandSize w:val="1"/>
      <w:tblBorders>
        <w:insideH w:val="single" w:sz="18" w:space="0" w:color="FFFFFF"/>
        <w:insideV w:val="single" w:sz="18" w:space="0" w:color="FFFFFF"/>
      </w:tblBorders>
    </w:tblPr>
    <w:tblStylePr w:type="firstRow">
      <w:rPr>
        <w:b/>
        <w:bCs/>
        <w:color w:val="auto"/>
      </w:rPr>
      <w:tblPr/>
      <w:tcPr>
        <w:tcBorders>
          <w:tl2br w:val="none" w:sz="0" w:space="0" w:color="auto"/>
          <w:tr2bl w:val="none" w:sz="0" w:space="0" w:color="auto"/>
        </w:tcBorders>
        <w:shd w:val="pct20" w:color="000000" w:fill="FFFFFF"/>
      </w:tcPr>
    </w:tblStylePr>
    <w:tblStylePr w:type="band1Horz">
      <w:rPr>
        <w:color w:val="auto"/>
      </w:rPr>
      <w:tblPr/>
      <w:tcPr>
        <w:tcBorders>
          <w:tl2br w:val="none" w:sz="0" w:space="0" w:color="auto"/>
          <w:tr2bl w:val="none" w:sz="0" w:space="0" w:color="auto"/>
        </w:tcBorders>
        <w:shd w:val="pct5" w:color="000000" w:fill="FFFFFF"/>
      </w:tcPr>
    </w:tblStylePr>
    <w:tblStylePr w:type="band2Horz">
      <w:rPr>
        <w:color w:val="auto"/>
      </w:rPr>
      <w:tblPr/>
      <w:tcPr>
        <w:tcBorders>
          <w:tl2br w:val="none" w:sz="0" w:space="0" w:color="auto"/>
          <w:tr2bl w:val="none" w:sz="0" w:space="0" w:color="auto"/>
        </w:tcBorders>
        <w:shd w:val="pct20" w:color="000000" w:fill="FFFFFF"/>
      </w:tcPr>
    </w:tblStylePr>
  </w:style>
  <w:style w:type="table" w:styleId="TableElegant">
    <w:name w:val="Table Elegant"/>
    <w:basedOn w:val="TableNormal"/>
    <w:uiPriority w:val="99"/>
    <w:semiHidden/>
    <w:unhideWhenUsed/>
    <w:rsid w:val="00167B18"/>
    <w:pPr>
      <w:spacing w:after="240" w:line="240" w:lineRule="auto"/>
    </w:pPr>
    <w:tblPr>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Pr>
    <w:tcPr>
      <w:shd w:val="clear" w:color="auto" w:fill="auto"/>
    </w:tcPr>
    <w:tblStylePr w:type="firstRow">
      <w:rPr>
        <w:caps/>
        <w:color w:val="auto"/>
      </w:rPr>
      <w:tblPr/>
      <w:tcPr>
        <w:tcBorders>
          <w:tl2br w:val="none" w:sz="0" w:space="0" w:color="auto"/>
          <w:tr2bl w:val="none" w:sz="0" w:space="0" w:color="auto"/>
        </w:tcBorders>
      </w:tcPr>
    </w:tblStylePr>
  </w:style>
  <w:style w:type="table" w:styleId="TableGrid1">
    <w:name w:val="Table Grid 1"/>
    <w:basedOn w:val="TableNormal"/>
    <w:uiPriority w:val="99"/>
    <w:semiHidden/>
    <w:unhideWhenUsed/>
    <w:rsid w:val="00167B18"/>
    <w:pPr>
      <w:spacing w:after="240" w:line="240" w:lineRule="auto"/>
    </w:p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cPr>
      <w:shd w:val="clear" w:color="auto" w:fill="auto"/>
    </w:tcPr>
    <w:tblStylePr w:type="lastRow">
      <w:rPr>
        <w:i/>
        <w:iCs/>
      </w:rPr>
      <w:tblPr/>
      <w:tcPr>
        <w:tcBorders>
          <w:tl2br w:val="none" w:sz="0" w:space="0" w:color="auto"/>
          <w:tr2bl w:val="none" w:sz="0" w:space="0" w:color="auto"/>
        </w:tcBorders>
      </w:tcPr>
    </w:tblStylePr>
    <w:tblStylePr w:type="lastCol">
      <w:rPr>
        <w:i/>
        <w:iCs/>
      </w:rPr>
      <w:tblPr/>
      <w:tcPr>
        <w:tcBorders>
          <w:tl2br w:val="none" w:sz="0" w:space="0" w:color="auto"/>
          <w:tr2bl w:val="none" w:sz="0" w:space="0" w:color="auto"/>
        </w:tcBorders>
      </w:tcPr>
    </w:tblStylePr>
  </w:style>
  <w:style w:type="table" w:styleId="TableGrid2">
    <w:name w:val="Table Grid 2"/>
    <w:basedOn w:val="TableNormal"/>
    <w:uiPriority w:val="99"/>
    <w:semiHidden/>
    <w:unhideWhenUsed/>
    <w:rsid w:val="00167B18"/>
    <w:pPr>
      <w:spacing w:after="240" w:line="240" w:lineRule="auto"/>
    </w:pPr>
    <w:tblPr>
      <w:tblBorders>
        <w:insideH w:val="single" w:sz="6" w:space="0" w:color="000000"/>
        <w:insideV w:val="single" w:sz="6" w:space="0" w:color="000000"/>
      </w:tblBorders>
    </w:tblPr>
    <w:tcPr>
      <w:shd w:val="clear" w:color="auto" w:fill="auto"/>
    </w:tcPr>
    <w:tblStylePr w:type="firstRow">
      <w:rPr>
        <w:b/>
        <w:bCs/>
      </w:rPr>
      <w:tblPr/>
      <w:tcPr>
        <w:tcBorders>
          <w:tl2br w:val="none" w:sz="0" w:space="0" w:color="auto"/>
          <w:tr2bl w:val="none" w:sz="0" w:space="0" w:color="auto"/>
        </w:tcBorders>
      </w:tcPr>
    </w:tblStylePr>
    <w:tblStylePr w:type="lastRow">
      <w:rPr>
        <w:b/>
        <w:bCs/>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style>
  <w:style w:type="table" w:styleId="TableGrid3">
    <w:name w:val="Table Grid 3"/>
    <w:basedOn w:val="TableNormal"/>
    <w:uiPriority w:val="99"/>
    <w:semiHidden/>
    <w:unhideWhenUsed/>
    <w:rsid w:val="00167B18"/>
    <w:pPr>
      <w:spacing w:after="240" w:line="240" w:lineRule="auto"/>
    </w:pPr>
    <w:tblPr>
      <w:tblBorders>
        <w:top w:val="single" w:sz="6" w:space="0" w:color="000000"/>
        <w:left w:val="single" w:sz="12" w:space="0" w:color="000000"/>
        <w:bottom w:val="single" w:sz="6" w:space="0" w:color="000000"/>
        <w:right w:val="single" w:sz="12" w:space="0" w:color="000000"/>
        <w:insideV w:val="single" w:sz="6" w:space="0" w:color="000000"/>
      </w:tblBorders>
    </w:tblPr>
    <w:tcPr>
      <w:shd w:val="clear" w:color="auto" w:fill="auto"/>
    </w:tcPr>
    <w:tblStylePr w:type="firstRow">
      <w:tblPr/>
      <w:tcPr>
        <w:tcBorders>
          <w:bottom w:val="single" w:sz="6" w:space="0" w:color="000000"/>
          <w:tl2br w:val="none" w:sz="0" w:space="0" w:color="auto"/>
          <w:tr2bl w:val="none" w:sz="0" w:space="0" w:color="auto"/>
        </w:tcBorders>
        <w:shd w:val="pct30" w:color="FFFF00" w:fill="FFFFFF"/>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style>
  <w:style w:type="table" w:styleId="TableGrid4">
    <w:name w:val="Table Grid 4"/>
    <w:basedOn w:val="TableNormal"/>
    <w:uiPriority w:val="99"/>
    <w:semiHidden/>
    <w:unhideWhenUsed/>
    <w:rsid w:val="00167B18"/>
    <w:pPr>
      <w:spacing w:after="240" w:line="240" w:lineRule="auto"/>
    </w:pPr>
    <w:tblPr>
      <w:tblBorders>
        <w:left w:val="single" w:sz="12" w:space="0" w:color="000000"/>
        <w:right w:val="single" w:sz="12" w:space="0" w:color="000000"/>
        <w:insideH w:val="single" w:sz="6" w:space="0" w:color="000000"/>
        <w:insideV w:val="single" w:sz="6" w:space="0" w:color="000000"/>
      </w:tblBorders>
    </w:tblPr>
    <w:tcPr>
      <w:shd w:val="clear" w:color="auto" w:fill="auto"/>
    </w:tcPr>
    <w:tblStylePr w:type="firstRow">
      <w:rPr>
        <w:color w:val="auto"/>
      </w:rPr>
      <w:tblPr/>
      <w:tcPr>
        <w:tcBorders>
          <w:bottom w:val="single" w:sz="6" w:space="0" w:color="000000"/>
          <w:tl2br w:val="none" w:sz="0" w:space="0" w:color="auto"/>
          <w:tr2bl w:val="none" w:sz="0" w:space="0" w:color="auto"/>
        </w:tcBorders>
        <w:shd w:val="pct30" w:color="FFFF00" w:fill="FFFFFF"/>
      </w:tcPr>
    </w:tblStylePr>
    <w:tblStylePr w:type="lastRow">
      <w:rPr>
        <w:b/>
        <w:bCs/>
        <w:color w:val="auto"/>
      </w:rPr>
      <w:tblPr/>
      <w:tcPr>
        <w:tcBorders>
          <w:top w:val="single" w:sz="6" w:space="0" w:color="000000"/>
          <w:tl2br w:val="none" w:sz="0" w:space="0" w:color="auto"/>
          <w:tr2bl w:val="none" w:sz="0" w:space="0" w:color="auto"/>
        </w:tcBorders>
        <w:shd w:val="pct30" w:color="FFFF00" w:fill="FFFFFF"/>
      </w:tcPr>
    </w:tblStylePr>
    <w:tblStylePr w:type="lastCol">
      <w:rPr>
        <w:b/>
        <w:bCs/>
        <w:color w:val="auto"/>
      </w:rPr>
      <w:tblPr/>
      <w:tcPr>
        <w:tcBorders>
          <w:tl2br w:val="none" w:sz="0" w:space="0" w:color="auto"/>
          <w:tr2bl w:val="none" w:sz="0" w:space="0" w:color="auto"/>
        </w:tcBorders>
      </w:tcPr>
    </w:tblStylePr>
  </w:style>
  <w:style w:type="table" w:styleId="TableGrid5">
    <w:name w:val="Table Grid 5"/>
    <w:basedOn w:val="TableNormal"/>
    <w:uiPriority w:val="99"/>
    <w:semiHidden/>
    <w:unhideWhenUsed/>
    <w:rsid w:val="00167B18"/>
    <w:pPr>
      <w:spacing w:after="240" w:line="240" w:lineRule="auto"/>
    </w:pPr>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cPr>
      <w:shd w:val="clear" w:color="auto" w:fill="auto"/>
    </w:tcPr>
    <w:tblStylePr w:type="firstRow">
      <w:tblPr/>
      <w:tcPr>
        <w:tcBorders>
          <w:bottom w:val="single" w:sz="12" w:space="0" w:color="000000"/>
          <w:tl2br w:val="none" w:sz="0" w:space="0" w:color="auto"/>
          <w:tr2bl w:val="none" w:sz="0" w:space="0" w:color="auto"/>
        </w:tcBorders>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styleId="TableGrid6">
    <w:name w:val="Table Grid 6"/>
    <w:basedOn w:val="TableNormal"/>
    <w:uiPriority w:val="99"/>
    <w:semiHidden/>
    <w:unhideWhenUsed/>
    <w:rsid w:val="00167B18"/>
    <w:pPr>
      <w:spacing w:after="240" w:line="240" w:lineRule="auto"/>
    </w:pPr>
    <w:tblPr>
      <w:tblBorders>
        <w:top w:val="single" w:sz="12" w:space="0" w:color="000000"/>
        <w:left w:val="single" w:sz="12" w:space="0" w:color="000000"/>
        <w:bottom w:val="single" w:sz="12" w:space="0" w:color="000000"/>
        <w:right w:val="single" w:sz="12" w:space="0" w:color="000000"/>
        <w:insideV w:val="single" w:sz="6" w:space="0" w:color="000000"/>
      </w:tblBorders>
    </w:tblPr>
    <w:tcPr>
      <w:shd w:val="clear" w:color="auto" w:fill="auto"/>
    </w:tcPr>
    <w:tblStylePr w:type="firstRow">
      <w:rPr>
        <w:b/>
        <w:bCs/>
      </w:rPr>
      <w:tblPr/>
      <w:tcPr>
        <w:tcBorders>
          <w:bottom w:val="single" w:sz="6" w:space="0" w:color="000000"/>
          <w:tl2br w:val="none" w:sz="0" w:space="0" w:color="auto"/>
          <w:tr2bl w:val="none" w:sz="0" w:space="0" w:color="auto"/>
        </w:tcBorders>
      </w:tcPr>
    </w:tblStylePr>
    <w:tblStylePr w:type="lastRow">
      <w:rPr>
        <w:color w:val="auto"/>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styleId="TableGrid7">
    <w:name w:val="Table Grid 7"/>
    <w:basedOn w:val="TableNormal"/>
    <w:uiPriority w:val="99"/>
    <w:semiHidden/>
    <w:unhideWhenUsed/>
    <w:rsid w:val="00167B18"/>
    <w:pPr>
      <w:spacing w:after="240" w:line="240" w:lineRule="auto"/>
    </w:pPr>
    <w:rPr>
      <w:b/>
      <w:bCs/>
    </w:rPr>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cPr>
      <w:shd w:val="clear" w:color="auto" w:fill="auto"/>
    </w:tcPr>
    <w:tblStylePr w:type="firstRow">
      <w:rPr>
        <w:b w:val="0"/>
        <w:bCs w:val="0"/>
      </w:rPr>
      <w:tblPr/>
      <w:tcPr>
        <w:tcBorders>
          <w:bottom w:val="single" w:sz="12" w:space="0" w:color="000000"/>
          <w:tl2br w:val="none" w:sz="0" w:space="0" w:color="auto"/>
          <w:tr2bl w:val="none" w:sz="0" w:space="0" w:color="auto"/>
        </w:tcBorders>
      </w:tcPr>
    </w:tblStylePr>
    <w:tblStylePr w:type="lastRow">
      <w:rPr>
        <w:b w:val="0"/>
        <w:bCs w:val="0"/>
      </w:rPr>
      <w:tblPr/>
      <w:tcPr>
        <w:tcBorders>
          <w:top w:val="single" w:sz="6" w:space="0" w:color="000000"/>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styleId="TableGrid8">
    <w:name w:val="Table Grid 8"/>
    <w:basedOn w:val="TableNormal"/>
    <w:uiPriority w:val="99"/>
    <w:semiHidden/>
    <w:unhideWhenUsed/>
    <w:rsid w:val="00167B18"/>
    <w:pPr>
      <w:spacing w:after="240" w:line="240" w:lineRule="auto"/>
    </w:pPr>
    <w:tblPr>
      <w:tblBorders>
        <w:top w:val="single" w:sz="6" w:space="0" w:color="000080"/>
        <w:left w:val="single" w:sz="6" w:space="0" w:color="000080"/>
        <w:bottom w:val="single" w:sz="6" w:space="0" w:color="000080"/>
        <w:right w:val="single" w:sz="6" w:space="0" w:color="000080"/>
        <w:insideH w:val="single" w:sz="6" w:space="0" w:color="000080"/>
        <w:insideV w:val="single" w:sz="6" w:space="0" w:color="000080"/>
      </w:tblBorders>
    </w:tblPr>
    <w:tcPr>
      <w:shd w:val="clear" w:color="auto" w:fill="auto"/>
    </w:tcPr>
    <w:tblStylePr w:type="firstRow">
      <w:rPr>
        <w:b/>
        <w:bCs/>
        <w:color w:val="FFFFFF"/>
      </w:rPr>
      <w:tblPr/>
      <w:tcPr>
        <w:tcBorders>
          <w:tl2br w:val="none" w:sz="0" w:space="0" w:color="auto"/>
          <w:tr2bl w:val="none" w:sz="0" w:space="0" w:color="auto"/>
        </w:tcBorders>
        <w:shd w:val="solid" w:color="000080" w:fill="FFFFFF"/>
      </w:tcPr>
    </w:tblStylePr>
    <w:tblStylePr w:type="lastRow">
      <w:rPr>
        <w:b/>
        <w:bCs/>
        <w:color w:val="auto"/>
      </w:rPr>
      <w:tblPr/>
      <w:tcPr>
        <w:tcBorders>
          <w:tl2br w:val="none" w:sz="0" w:space="0" w:color="auto"/>
          <w:tr2bl w:val="none" w:sz="0" w:space="0" w:color="auto"/>
        </w:tcBorders>
      </w:tcPr>
    </w:tblStylePr>
    <w:tblStylePr w:type="lastCol">
      <w:rPr>
        <w:b/>
        <w:bCs/>
        <w:color w:val="auto"/>
      </w:rPr>
      <w:tblPr/>
      <w:tcPr>
        <w:tcBorders>
          <w:tl2br w:val="none" w:sz="0" w:space="0" w:color="auto"/>
          <w:tr2bl w:val="none" w:sz="0" w:space="0" w:color="auto"/>
        </w:tcBorders>
      </w:tcPr>
    </w:tblStylePr>
  </w:style>
  <w:style w:type="table" w:styleId="TableGridLight">
    <w:name w:val="Grid Table Light"/>
    <w:basedOn w:val="TableNormal"/>
    <w:uiPriority w:val="40"/>
    <w:rsid w:val="00167B18"/>
    <w:pPr>
      <w:spacing w:after="0" w:line="240" w:lineRule="auto"/>
    </w:pPr>
    <w:tblPr>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style>
  <w:style w:type="table" w:styleId="TableList1">
    <w:name w:val="Table List 1"/>
    <w:basedOn w:val="TableNormal"/>
    <w:uiPriority w:val="99"/>
    <w:semiHidden/>
    <w:unhideWhenUsed/>
    <w:rsid w:val="00167B18"/>
    <w:pPr>
      <w:spacing w:after="240" w:line="240" w:lineRule="auto"/>
    </w:pPr>
    <w:tblPr>
      <w:tblStyleRowBandSize w:val="1"/>
      <w:tblBorders>
        <w:top w:val="single" w:sz="12" w:space="0" w:color="008080"/>
        <w:left w:val="single" w:sz="6" w:space="0" w:color="008080"/>
        <w:bottom w:val="single" w:sz="12" w:space="0" w:color="008080"/>
        <w:right w:val="single" w:sz="6" w:space="0" w:color="008080"/>
      </w:tblBorders>
    </w:tblPr>
    <w:tblStylePr w:type="firstRow">
      <w:rPr>
        <w:b/>
        <w:bCs/>
        <w:i/>
        <w:iCs/>
        <w:color w:val="800000"/>
      </w:rPr>
      <w:tblPr/>
      <w:tcPr>
        <w:tcBorders>
          <w:bottom w:val="single" w:sz="6" w:space="0" w:color="000000"/>
          <w:tl2br w:val="none" w:sz="0" w:space="0" w:color="auto"/>
          <w:tr2bl w:val="none" w:sz="0" w:space="0" w:color="auto"/>
        </w:tcBorders>
        <w:shd w:val="solid" w:color="C0C0C0" w:fill="FFFFFF"/>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solid" w:color="C0C0C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leList2">
    <w:name w:val="Table List 2"/>
    <w:basedOn w:val="TableNormal"/>
    <w:uiPriority w:val="99"/>
    <w:semiHidden/>
    <w:unhideWhenUsed/>
    <w:rsid w:val="00167B18"/>
    <w:pPr>
      <w:spacing w:after="240" w:line="240" w:lineRule="auto"/>
    </w:pPr>
    <w:tblPr>
      <w:tblStyleRowBandSize w:val="2"/>
      <w:tblBorders>
        <w:bottom w:val="single" w:sz="12" w:space="0" w:color="808080"/>
      </w:tblBorders>
    </w:tblPr>
    <w:tblStylePr w:type="firstRow">
      <w:rPr>
        <w:b/>
        <w:bCs/>
        <w:color w:val="FFFFFF"/>
      </w:rPr>
      <w:tblPr/>
      <w:tcPr>
        <w:tcBorders>
          <w:bottom w:val="single" w:sz="6" w:space="0" w:color="000000"/>
          <w:tl2br w:val="none" w:sz="0" w:space="0" w:color="auto"/>
          <w:tr2bl w:val="none" w:sz="0" w:space="0" w:color="auto"/>
        </w:tcBorders>
        <w:shd w:val="pct75" w:color="008080" w:fill="008000"/>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FF0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leList3">
    <w:name w:val="Table List 3"/>
    <w:basedOn w:val="TableNormal"/>
    <w:uiPriority w:val="99"/>
    <w:semiHidden/>
    <w:unhideWhenUsed/>
    <w:rsid w:val="00167B18"/>
    <w:pPr>
      <w:spacing w:after="240" w:line="240" w:lineRule="auto"/>
    </w:pPr>
    <w:tblPr>
      <w:tblBorders>
        <w:top w:val="single" w:sz="12" w:space="0" w:color="000000"/>
        <w:bottom w:val="single" w:sz="12" w:space="0" w:color="000000"/>
        <w:insideH w:val="single" w:sz="6" w:space="0" w:color="000000"/>
      </w:tblBorders>
    </w:tblPr>
    <w:tcPr>
      <w:shd w:val="clear" w:color="auto" w:fill="auto"/>
    </w:tcPr>
    <w:tblStylePr w:type="firstRow">
      <w:rPr>
        <w:b/>
        <w:bCs/>
        <w:color w:val="000080"/>
      </w:rPr>
      <w:tblPr/>
      <w:tcPr>
        <w:tcBorders>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tcPr>
    </w:tblStylePr>
    <w:tblStylePr w:type="swCell">
      <w:rPr>
        <w:i/>
        <w:iCs/>
        <w:color w:val="000080"/>
      </w:rPr>
      <w:tblPr/>
      <w:tcPr>
        <w:tcBorders>
          <w:tl2br w:val="none" w:sz="0" w:space="0" w:color="auto"/>
          <w:tr2bl w:val="none" w:sz="0" w:space="0" w:color="auto"/>
        </w:tcBorders>
      </w:tcPr>
    </w:tblStylePr>
  </w:style>
  <w:style w:type="table" w:styleId="TableList4">
    <w:name w:val="Table List 4"/>
    <w:basedOn w:val="TableNormal"/>
    <w:uiPriority w:val="99"/>
    <w:semiHidden/>
    <w:unhideWhenUsed/>
    <w:rsid w:val="00167B18"/>
    <w:pPr>
      <w:spacing w:after="240" w:line="240" w:lineRule="auto"/>
    </w:pPr>
    <w:tblPr>
      <w:tblBorders>
        <w:top w:val="single" w:sz="12" w:space="0" w:color="000000"/>
        <w:left w:val="single" w:sz="12" w:space="0" w:color="000000"/>
        <w:bottom w:val="single" w:sz="12" w:space="0" w:color="000000"/>
        <w:right w:val="single" w:sz="12" w:space="0" w:color="000000"/>
        <w:insideH w:val="single" w:sz="6" w:space="0" w:color="000000"/>
      </w:tblBorders>
    </w:tblPr>
    <w:tcPr>
      <w:shd w:val="clear" w:color="auto" w:fill="auto"/>
    </w:tcPr>
    <w:tblStylePr w:type="firstRow">
      <w:rPr>
        <w:b/>
        <w:bCs/>
        <w:color w:val="FFFFFF"/>
      </w:rPr>
      <w:tblPr/>
      <w:tcPr>
        <w:tcBorders>
          <w:bottom w:val="single" w:sz="12" w:space="0" w:color="000000"/>
          <w:tl2br w:val="none" w:sz="0" w:space="0" w:color="auto"/>
          <w:tr2bl w:val="none" w:sz="0" w:space="0" w:color="auto"/>
        </w:tcBorders>
        <w:shd w:val="solid" w:color="808080" w:fill="FFFFFF"/>
      </w:tcPr>
    </w:tblStylePr>
  </w:style>
  <w:style w:type="table" w:styleId="TableList5">
    <w:name w:val="Table List 5"/>
    <w:basedOn w:val="TableNormal"/>
    <w:uiPriority w:val="99"/>
    <w:semiHidden/>
    <w:unhideWhenUsed/>
    <w:rsid w:val="00167B18"/>
    <w:pPr>
      <w:spacing w:after="240" w:line="240" w:lineRule="auto"/>
    </w:pPr>
    <w:tblPr>
      <w:tblBorders>
        <w:top w:val="single" w:sz="6" w:space="0" w:color="000000"/>
        <w:left w:val="single" w:sz="6" w:space="0" w:color="000000"/>
        <w:bottom w:val="single" w:sz="6" w:space="0" w:color="000000"/>
        <w:right w:val="single" w:sz="6" w:space="0" w:color="000000"/>
        <w:insideH w:val="single" w:sz="6" w:space="0" w:color="000000"/>
      </w:tblBorders>
    </w:tblPr>
    <w:tcPr>
      <w:shd w:val="clear" w:color="auto" w:fill="auto"/>
    </w:tcPr>
    <w:tblStylePr w:type="firstRow">
      <w:rPr>
        <w:b/>
        <w:bCs/>
      </w:rPr>
      <w:tblPr/>
      <w:tcPr>
        <w:tcBorders>
          <w:bottom w:val="single" w:sz="12"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style>
  <w:style w:type="table" w:styleId="TableList6">
    <w:name w:val="Table List 6"/>
    <w:basedOn w:val="TableNormal"/>
    <w:uiPriority w:val="99"/>
    <w:semiHidden/>
    <w:unhideWhenUsed/>
    <w:rsid w:val="00167B18"/>
    <w:pPr>
      <w:spacing w:after="240" w:line="240" w:lineRule="auto"/>
    </w:pPr>
    <w:tblPr>
      <w:tblStyleRowBandSize w:val="1"/>
      <w:tblBorders>
        <w:top w:val="single" w:sz="6" w:space="0" w:color="000000"/>
        <w:left w:val="single" w:sz="6" w:space="0" w:color="000000"/>
        <w:bottom w:val="single" w:sz="6" w:space="0" w:color="000000"/>
        <w:right w:val="single" w:sz="6" w:space="0" w:color="000000"/>
      </w:tblBorders>
    </w:tblPr>
    <w:tcPr>
      <w:shd w:val="pct50" w:color="000000" w:fill="FFFFFF"/>
    </w:tcPr>
    <w:tblStylePr w:type="firstRow">
      <w:rPr>
        <w:b/>
        <w:bCs/>
      </w:rPr>
      <w:tblPr/>
      <w:tcPr>
        <w:tcBorders>
          <w:bottom w:val="single" w:sz="12" w:space="0" w:color="000000"/>
          <w:tl2br w:val="none" w:sz="0" w:space="0" w:color="auto"/>
          <w:tr2bl w:val="none" w:sz="0" w:space="0" w:color="auto"/>
        </w:tcBorders>
      </w:tcPr>
    </w:tblStylePr>
    <w:tblStylePr w:type="firstCol">
      <w:rPr>
        <w:b/>
        <w:bCs/>
      </w:rPr>
      <w:tblPr/>
      <w:tcPr>
        <w:tcBorders>
          <w:right w:val="single" w:sz="12" w:space="0" w:color="000000"/>
          <w:tl2br w:val="none" w:sz="0" w:space="0" w:color="auto"/>
          <w:tr2bl w:val="none" w:sz="0" w:space="0" w:color="auto"/>
        </w:tcBorders>
      </w:tcPr>
    </w:tblStylePr>
    <w:tblStylePr w:type="band1Horz">
      <w:tblPr/>
      <w:tcPr>
        <w:tcBorders>
          <w:tl2br w:val="none" w:sz="0" w:space="0" w:color="auto"/>
          <w:tr2bl w:val="none" w:sz="0" w:space="0" w:color="auto"/>
        </w:tcBorders>
        <w:shd w:val="pct25" w:color="000000" w:fill="FFFFFF"/>
      </w:tcPr>
    </w:tblStylePr>
  </w:style>
  <w:style w:type="table" w:styleId="TableList7">
    <w:name w:val="Table List 7"/>
    <w:basedOn w:val="TableNormal"/>
    <w:uiPriority w:val="99"/>
    <w:semiHidden/>
    <w:unhideWhenUsed/>
    <w:rsid w:val="00167B18"/>
    <w:pPr>
      <w:spacing w:after="240" w:line="240" w:lineRule="auto"/>
    </w:pPr>
    <w:tblPr>
      <w:tblStyleRowBandSize w:val="1"/>
      <w:tblBorders>
        <w:top w:val="single" w:sz="12" w:space="0" w:color="008000"/>
        <w:left w:val="single" w:sz="6" w:space="0" w:color="008000"/>
        <w:bottom w:val="single" w:sz="12" w:space="0" w:color="008000"/>
        <w:right w:val="single" w:sz="6" w:space="0" w:color="008000"/>
        <w:insideH w:val="single" w:sz="6" w:space="0" w:color="000000"/>
      </w:tblBorders>
    </w:tblPr>
    <w:tblStylePr w:type="firstRow">
      <w:rPr>
        <w:b/>
        <w:bCs/>
      </w:rPr>
      <w:tblPr/>
      <w:tcPr>
        <w:tcBorders>
          <w:bottom w:val="single" w:sz="12" w:space="0" w:color="008000"/>
          <w:tl2br w:val="none" w:sz="0" w:space="0" w:color="auto"/>
          <w:tr2bl w:val="none" w:sz="0" w:space="0" w:color="auto"/>
        </w:tcBorders>
        <w:shd w:val="solid" w:color="C0C0C0" w:fill="FFFFFF"/>
      </w:tcPr>
    </w:tblStylePr>
    <w:tblStylePr w:type="lastRow">
      <w:rPr>
        <w:b/>
        <w:bCs/>
      </w:rPr>
      <w:tblPr/>
      <w:tcPr>
        <w:tcBorders>
          <w:top w:val="single" w:sz="12" w:space="0" w:color="008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0000" w:fill="FFFFFF"/>
      </w:tcPr>
    </w:tblStylePr>
    <w:tblStylePr w:type="band2Horz">
      <w:tblPr/>
      <w:tcPr>
        <w:tcBorders>
          <w:tl2br w:val="none" w:sz="0" w:space="0" w:color="auto"/>
          <w:tr2bl w:val="none" w:sz="0" w:space="0" w:color="auto"/>
        </w:tcBorders>
        <w:shd w:val="pct25" w:color="FFFF00" w:fill="FFFFFF"/>
      </w:tcPr>
    </w:tblStylePr>
  </w:style>
  <w:style w:type="table" w:styleId="TableList8">
    <w:name w:val="Table List 8"/>
    <w:basedOn w:val="TableNormal"/>
    <w:uiPriority w:val="99"/>
    <w:semiHidden/>
    <w:unhideWhenUsed/>
    <w:rsid w:val="00167B18"/>
    <w:pPr>
      <w:spacing w:after="240" w:line="240" w:lineRule="auto"/>
    </w:pPr>
    <w:tblPr>
      <w:tblStyleRowBandSize w:val="1"/>
      <w:tblBorders>
        <w:top w:val="single" w:sz="6" w:space="0" w:color="000000"/>
        <w:left w:val="single" w:sz="6" w:space="0" w:color="000000"/>
        <w:bottom w:val="single" w:sz="6" w:space="0" w:color="000000"/>
        <w:right w:val="single" w:sz="6" w:space="0" w:color="000000"/>
        <w:insideV w:val="single" w:sz="6" w:space="0" w:color="000000"/>
      </w:tblBorders>
    </w:tblPr>
    <w:tblStylePr w:type="firstRow">
      <w:rPr>
        <w:b/>
        <w:bCs/>
        <w:i/>
        <w:iCs/>
      </w:rPr>
      <w:tblPr/>
      <w:tcPr>
        <w:tcBorders>
          <w:bottom w:val="single" w:sz="6" w:space="0" w:color="000000"/>
          <w:tl2br w:val="none" w:sz="0" w:space="0" w:color="auto"/>
          <w:tr2bl w:val="none" w:sz="0" w:space="0" w:color="auto"/>
        </w:tcBorders>
        <w:shd w:val="solid" w:color="FFFF00" w:fill="FFFFFF"/>
      </w:tcPr>
    </w:tblStylePr>
    <w:tblStylePr w:type="lastRow">
      <w:rPr>
        <w:b/>
        <w:bCs/>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5" w:color="FFFF00" w:fill="FFFFFF"/>
      </w:tcPr>
    </w:tblStylePr>
    <w:tblStylePr w:type="band2Horz">
      <w:tblPr/>
      <w:tcPr>
        <w:tcBorders>
          <w:tl2br w:val="none" w:sz="0" w:space="0" w:color="auto"/>
          <w:tr2bl w:val="none" w:sz="0" w:space="0" w:color="auto"/>
        </w:tcBorders>
        <w:shd w:val="pct50" w:color="FF0000" w:fill="FFFFFF"/>
      </w:tcPr>
    </w:tblStylePr>
  </w:style>
  <w:style w:type="paragraph" w:styleId="TableofAuthorities">
    <w:name w:val="table of authorities"/>
    <w:basedOn w:val="Normal"/>
    <w:next w:val="Normal"/>
    <w:uiPriority w:val="99"/>
    <w:semiHidden/>
    <w:unhideWhenUsed/>
    <w:rsid w:val="00167B18"/>
    <w:pPr>
      <w:spacing w:after="0"/>
      <w:ind w:left="240" w:hanging="240"/>
    </w:pPr>
  </w:style>
  <w:style w:type="table" w:styleId="TableProfessional">
    <w:name w:val="Table Professional"/>
    <w:basedOn w:val="TableNormal"/>
    <w:uiPriority w:val="99"/>
    <w:semiHidden/>
    <w:unhideWhenUsed/>
    <w:rsid w:val="00167B18"/>
    <w:pPr>
      <w:spacing w:after="240" w:line="240" w:lineRule="auto"/>
    </w:p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cPr>
      <w:shd w:val="clear" w:color="auto" w:fill="auto"/>
    </w:tcPr>
    <w:tblStylePr w:type="firstRow">
      <w:rPr>
        <w:b/>
        <w:bCs/>
        <w:color w:val="auto"/>
      </w:rPr>
      <w:tblPr/>
      <w:tcPr>
        <w:tcBorders>
          <w:tl2br w:val="none" w:sz="0" w:space="0" w:color="auto"/>
          <w:tr2bl w:val="none" w:sz="0" w:space="0" w:color="auto"/>
        </w:tcBorders>
        <w:shd w:val="solid" w:color="000000" w:fill="FFFFFF"/>
      </w:tcPr>
    </w:tblStylePr>
  </w:style>
  <w:style w:type="table" w:styleId="TableSimple1">
    <w:name w:val="Table Simple 1"/>
    <w:basedOn w:val="TableNormal"/>
    <w:uiPriority w:val="99"/>
    <w:semiHidden/>
    <w:unhideWhenUsed/>
    <w:rsid w:val="00167B18"/>
    <w:pPr>
      <w:spacing w:after="240" w:line="240" w:lineRule="auto"/>
    </w:pPr>
    <w:tblPr>
      <w:tblBorders>
        <w:top w:val="single" w:sz="12" w:space="0" w:color="008000"/>
        <w:bottom w:val="single" w:sz="12" w:space="0" w:color="008000"/>
      </w:tblBorders>
    </w:tblPr>
    <w:tcPr>
      <w:shd w:val="clear" w:color="auto" w:fill="auto"/>
    </w:tcPr>
    <w:tblStylePr w:type="firstRow">
      <w:tblPr/>
      <w:tcPr>
        <w:tcBorders>
          <w:bottom w:val="single" w:sz="6" w:space="0" w:color="008000"/>
          <w:tl2br w:val="none" w:sz="0" w:space="0" w:color="auto"/>
          <w:tr2bl w:val="none" w:sz="0" w:space="0" w:color="auto"/>
        </w:tcBorders>
      </w:tcPr>
    </w:tblStylePr>
    <w:tblStylePr w:type="lastRow">
      <w:tblPr/>
      <w:tcPr>
        <w:tcBorders>
          <w:top w:val="single" w:sz="6" w:space="0" w:color="008000"/>
          <w:tl2br w:val="none" w:sz="0" w:space="0" w:color="auto"/>
          <w:tr2bl w:val="none" w:sz="0" w:space="0" w:color="auto"/>
        </w:tcBorders>
      </w:tcPr>
    </w:tblStylePr>
  </w:style>
  <w:style w:type="table" w:styleId="TableSimple2">
    <w:name w:val="Table Simple 2"/>
    <w:basedOn w:val="TableNormal"/>
    <w:uiPriority w:val="99"/>
    <w:semiHidden/>
    <w:unhideWhenUsed/>
    <w:rsid w:val="00167B18"/>
    <w:pPr>
      <w:spacing w:after="240" w:line="240" w:lineRule="auto"/>
    </w:pPr>
    <w:tblPr/>
    <w:tblStylePr w:type="firstRow">
      <w:rPr>
        <w:b/>
        <w:bCs/>
      </w:rPr>
      <w:tblPr/>
      <w:tcPr>
        <w:tcBorders>
          <w:bottom w:val="single" w:sz="12" w:space="0" w:color="000000"/>
          <w:tl2br w:val="none" w:sz="0" w:space="0" w:color="auto"/>
          <w:tr2bl w:val="none" w:sz="0" w:space="0" w:color="auto"/>
        </w:tcBorders>
      </w:tcPr>
    </w:tblStylePr>
    <w:tblStylePr w:type="lastRow">
      <w:rPr>
        <w:b/>
        <w:bCs/>
        <w:color w:val="auto"/>
      </w:rPr>
      <w:tblPr/>
      <w:tcPr>
        <w:tcBorders>
          <w:top w:val="single" w:sz="6" w:space="0" w:color="000000"/>
          <w:tl2br w:val="none" w:sz="0" w:space="0" w:color="auto"/>
          <w:tr2bl w:val="none" w:sz="0" w:space="0" w:color="auto"/>
        </w:tcBorders>
      </w:tcPr>
    </w:tblStylePr>
    <w:tblStylePr w:type="firstCol">
      <w:rPr>
        <w:b/>
        <w:bCs/>
      </w:rPr>
      <w:tblPr/>
      <w:tcPr>
        <w:tcBorders>
          <w:right w:val="single" w:sz="12" w:space="0" w:color="000000"/>
          <w:tl2br w:val="none" w:sz="0" w:space="0" w:color="auto"/>
          <w:tr2bl w:val="none" w:sz="0" w:space="0" w:color="auto"/>
        </w:tcBorders>
      </w:tcPr>
    </w:tblStylePr>
    <w:tblStylePr w:type="lastCol">
      <w:rPr>
        <w:b/>
        <w:bCs/>
      </w:rPr>
      <w:tblPr/>
      <w:tcPr>
        <w:tcBorders>
          <w:left w:val="single" w:sz="6" w:space="0" w:color="000000"/>
          <w:tl2br w:val="none" w:sz="0" w:space="0" w:color="auto"/>
          <w:tr2bl w:val="none" w:sz="0" w:space="0" w:color="auto"/>
        </w:tcBorders>
      </w:tcPr>
    </w:tblStylePr>
    <w:tblStylePr w:type="neCell">
      <w:rPr>
        <w:b/>
        <w:bCs/>
      </w:rPr>
      <w:tblPr/>
      <w:tcPr>
        <w:tcBorders>
          <w:left w:val="none" w:sz="0" w:space="0" w:color="auto"/>
          <w:tl2br w:val="none" w:sz="0" w:space="0" w:color="auto"/>
          <w:tr2bl w:val="none" w:sz="0" w:space="0" w:color="auto"/>
        </w:tcBorders>
      </w:tcPr>
    </w:tblStylePr>
    <w:tblStylePr w:type="swCell">
      <w:rPr>
        <w:b/>
        <w:bCs/>
      </w:rPr>
      <w:tblPr/>
      <w:tcPr>
        <w:tcBorders>
          <w:top w:val="none" w:sz="0" w:space="0" w:color="auto"/>
          <w:tl2br w:val="none" w:sz="0" w:space="0" w:color="auto"/>
          <w:tr2bl w:val="none" w:sz="0" w:space="0" w:color="auto"/>
        </w:tcBorders>
      </w:tcPr>
    </w:tblStylePr>
  </w:style>
  <w:style w:type="table" w:styleId="TableSimple3">
    <w:name w:val="Table Simple 3"/>
    <w:basedOn w:val="TableNormal"/>
    <w:uiPriority w:val="99"/>
    <w:semiHidden/>
    <w:unhideWhenUsed/>
    <w:rsid w:val="00167B18"/>
    <w:pPr>
      <w:spacing w:after="240" w:line="240" w:lineRule="auto"/>
    </w:pPr>
    <w:tblPr>
      <w:tblBorders>
        <w:top w:val="single" w:sz="12" w:space="0" w:color="000000"/>
        <w:left w:val="single" w:sz="12" w:space="0" w:color="000000"/>
        <w:bottom w:val="single" w:sz="12" w:space="0" w:color="000000"/>
        <w:right w:val="single" w:sz="12" w:space="0" w:color="000000"/>
      </w:tblBorders>
    </w:tblPr>
    <w:tcPr>
      <w:shd w:val="clear" w:color="auto" w:fill="auto"/>
    </w:tcPr>
    <w:tblStylePr w:type="firstRow">
      <w:rPr>
        <w:b/>
        <w:bCs/>
        <w:color w:val="FFFFFF"/>
      </w:rPr>
      <w:tblPr/>
      <w:tcPr>
        <w:tcBorders>
          <w:tl2br w:val="none" w:sz="0" w:space="0" w:color="auto"/>
          <w:tr2bl w:val="none" w:sz="0" w:space="0" w:color="auto"/>
        </w:tcBorders>
        <w:shd w:val="solid" w:color="000000" w:fill="FFFFFF"/>
      </w:tcPr>
    </w:tblStylePr>
  </w:style>
  <w:style w:type="table" w:styleId="TableSubtle1">
    <w:name w:val="Table Subtle 1"/>
    <w:basedOn w:val="TableNormal"/>
    <w:uiPriority w:val="99"/>
    <w:semiHidden/>
    <w:unhideWhenUsed/>
    <w:rsid w:val="00167B18"/>
    <w:pPr>
      <w:spacing w:after="240" w:line="240" w:lineRule="auto"/>
    </w:pPr>
    <w:tblPr>
      <w:tblStyleRowBandSize w:val="1"/>
    </w:tblPr>
    <w:tblStylePr w:type="firstRow">
      <w:tblPr/>
      <w:tcPr>
        <w:tcBorders>
          <w:top w:val="single" w:sz="6" w:space="0" w:color="000000"/>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shd w:val="pct25" w:color="800080" w:fill="FFFFFF"/>
      </w:tcPr>
    </w:tblStylePr>
    <w:tblStylePr w:type="firstCol">
      <w:tblPr/>
      <w:tcPr>
        <w:tcBorders>
          <w:right w:val="single" w:sz="12" w:space="0" w:color="000000"/>
          <w:tl2br w:val="none" w:sz="0" w:space="0" w:color="auto"/>
          <w:tr2bl w:val="none" w:sz="0" w:space="0" w:color="auto"/>
        </w:tcBorders>
      </w:tcPr>
    </w:tblStylePr>
    <w:tblStylePr w:type="lastCol">
      <w:tblPr/>
      <w:tcPr>
        <w:tcBorders>
          <w:left w:val="single" w:sz="12" w:space="0" w:color="000000"/>
          <w:tl2br w:val="none" w:sz="0" w:space="0" w:color="auto"/>
          <w:tr2bl w:val="none" w:sz="0" w:space="0" w:color="auto"/>
        </w:tcBorders>
      </w:tcPr>
    </w:tblStylePr>
    <w:tblStylePr w:type="band1Horz">
      <w:tblPr/>
      <w:tcPr>
        <w:tcBorders>
          <w:bottom w:val="single" w:sz="6"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leSubtle2">
    <w:name w:val="Table Subtle 2"/>
    <w:basedOn w:val="TableNormal"/>
    <w:uiPriority w:val="99"/>
    <w:semiHidden/>
    <w:unhideWhenUsed/>
    <w:rsid w:val="00167B18"/>
    <w:pPr>
      <w:spacing w:after="240" w:line="240" w:lineRule="auto"/>
    </w:pPr>
    <w:tblPr>
      <w:tblBorders>
        <w:left w:val="single" w:sz="6" w:space="0" w:color="000000"/>
        <w:right w:val="single" w:sz="6" w:space="0" w:color="000000"/>
      </w:tblBorders>
    </w:tblPr>
    <w:tblStylePr w:type="firstRow">
      <w:tblPr/>
      <w:tcPr>
        <w:tcBorders>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tcPr>
    </w:tblStylePr>
    <w:tblStylePr w:type="firstCol">
      <w:tblPr/>
      <w:tcPr>
        <w:tcBorders>
          <w:right w:val="single" w:sz="12" w:space="0" w:color="000000"/>
          <w:tl2br w:val="none" w:sz="0" w:space="0" w:color="auto"/>
          <w:tr2bl w:val="none" w:sz="0" w:space="0" w:color="auto"/>
        </w:tcBorders>
        <w:shd w:val="pct25" w:color="008000" w:fill="FFFFFF"/>
      </w:tcPr>
    </w:tblStylePr>
    <w:tblStylePr w:type="lastCol">
      <w:tblPr/>
      <w:tcPr>
        <w:tcBorders>
          <w:left w:val="single" w:sz="12"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leTheme">
    <w:name w:val="Table Theme"/>
    <w:basedOn w:val="TableNormal"/>
    <w:uiPriority w:val="99"/>
    <w:semiHidden/>
    <w:unhideWhenUsed/>
    <w:rsid w:val="00167B18"/>
    <w:pPr>
      <w:spacing w:after="24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styleId="TableWeb1">
    <w:name w:val="Table Web 1"/>
    <w:basedOn w:val="TableNormal"/>
    <w:uiPriority w:val="99"/>
    <w:semiHidden/>
    <w:unhideWhenUsed/>
    <w:rsid w:val="00167B18"/>
    <w:pPr>
      <w:spacing w:after="240" w:line="240" w:lineRule="auto"/>
    </w:pPr>
    <w:tblPr>
      <w:tblCellSpacing w:w="20" w:type="dxa"/>
      <w:tblBorders>
        <w:top w:val="outset" w:sz="6" w:space="0" w:color="auto"/>
        <w:left w:val="outset" w:sz="6" w:space="0" w:color="auto"/>
        <w:bottom w:val="outset" w:sz="6" w:space="0" w:color="auto"/>
        <w:right w:val="outset" w:sz="6" w:space="0" w:color="auto"/>
        <w:insideH w:val="outset" w:sz="6" w:space="0" w:color="auto"/>
        <w:insideV w:val="out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styleId="TableWeb2">
    <w:name w:val="Table Web 2"/>
    <w:basedOn w:val="TableNormal"/>
    <w:uiPriority w:val="99"/>
    <w:semiHidden/>
    <w:unhideWhenUsed/>
    <w:rsid w:val="00167B18"/>
    <w:pPr>
      <w:spacing w:after="240" w:line="240" w:lineRule="auto"/>
    </w:pPr>
    <w:tblPr>
      <w:tblCellSpacing w:w="20" w:type="dxa"/>
      <w:tblBorders>
        <w:top w:val="inset" w:sz="6" w:space="0" w:color="auto"/>
        <w:left w:val="inset" w:sz="6" w:space="0" w:color="auto"/>
        <w:bottom w:val="inset" w:sz="6" w:space="0" w:color="auto"/>
        <w:right w:val="inset" w:sz="6" w:space="0" w:color="auto"/>
        <w:insideH w:val="inset" w:sz="6" w:space="0" w:color="auto"/>
        <w:insideV w:val="in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styleId="TableWeb3">
    <w:name w:val="Table Web 3"/>
    <w:basedOn w:val="TableNormal"/>
    <w:uiPriority w:val="99"/>
    <w:semiHidden/>
    <w:unhideWhenUsed/>
    <w:rsid w:val="00167B18"/>
    <w:pPr>
      <w:spacing w:after="240" w:line="240" w:lineRule="auto"/>
    </w:pPr>
    <w:tblPr>
      <w:tblCellSpacing w:w="20" w:type="dxa"/>
      <w:tblBorders>
        <w:top w:val="outset" w:sz="24" w:space="0" w:color="auto"/>
        <w:left w:val="outset" w:sz="24" w:space="0" w:color="auto"/>
        <w:bottom w:val="outset" w:sz="24" w:space="0" w:color="auto"/>
        <w:right w:val="outset" w:sz="24" w:space="0" w:color="auto"/>
        <w:insideH w:val="outset" w:sz="6" w:space="0" w:color="auto"/>
        <w:insideV w:val="out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paragraph" w:styleId="Title">
    <w:name w:val="Title"/>
    <w:basedOn w:val="Normal"/>
    <w:next w:val="Normal"/>
    <w:link w:val="TitleChar"/>
    <w:uiPriority w:val="10"/>
    <w:qFormat/>
    <w:rsid w:val="00167B18"/>
    <w:pPr>
      <w:spacing w:after="0"/>
      <w:contextualSpacing/>
    </w:pPr>
    <w:rPr>
      <w:rFonts w:asciiTheme="majorHAnsi" w:eastAsiaTheme="majorEastAsia" w:hAnsiTheme="majorHAnsi" w:cstheme="majorBidi"/>
      <w:spacing w:val="-10"/>
      <w:kern w:val="28"/>
      <w:sz w:val="56"/>
      <w:szCs w:val="56"/>
    </w:rPr>
  </w:style>
  <w:style w:type="character" w:customStyle="1" w:styleId="TitleChar">
    <w:name w:val="Title Char"/>
    <w:basedOn w:val="DefaultParagraphFont"/>
    <w:link w:val="Title"/>
    <w:uiPriority w:val="10"/>
    <w:rsid w:val="00167B18"/>
    <w:rPr>
      <w:rFonts w:asciiTheme="majorHAnsi" w:eastAsiaTheme="majorEastAsia" w:hAnsiTheme="majorHAnsi" w:cstheme="majorBidi"/>
      <w:spacing w:val="-10"/>
      <w:kern w:val="28"/>
      <w:sz w:val="56"/>
      <w:szCs w:val="56"/>
    </w:rPr>
  </w:style>
  <w:style w:type="paragraph" w:customStyle="1" w:styleId="Bodytxt">
    <w:name w:val="Bodytxt"/>
    <w:basedOn w:val="Normal"/>
    <w:qFormat/>
    <w:rsid w:val="002B4353"/>
    <w:pPr>
      <w:widowControl w:val="0"/>
      <w:spacing w:after="0" w:line="480" w:lineRule="auto"/>
      <w:ind w:firstLine="720"/>
    </w:pPr>
    <w:rPr>
      <w:snapToGrid w:val="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9450286">
      <w:bodyDiv w:val="1"/>
      <w:marLeft w:val="0"/>
      <w:marRight w:val="0"/>
      <w:marTop w:val="0"/>
      <w:marBottom w:val="0"/>
      <w:divBdr>
        <w:top w:val="none" w:sz="0" w:space="0" w:color="auto"/>
        <w:left w:val="none" w:sz="0" w:space="0" w:color="auto"/>
        <w:bottom w:val="none" w:sz="0" w:space="0" w:color="auto"/>
        <w:right w:val="none" w:sz="0" w:space="0" w:color="auto"/>
      </w:divBdr>
    </w:div>
    <w:div w:id="33166212">
      <w:bodyDiv w:val="1"/>
      <w:marLeft w:val="0"/>
      <w:marRight w:val="0"/>
      <w:marTop w:val="0"/>
      <w:marBottom w:val="0"/>
      <w:divBdr>
        <w:top w:val="none" w:sz="0" w:space="0" w:color="auto"/>
        <w:left w:val="none" w:sz="0" w:space="0" w:color="auto"/>
        <w:bottom w:val="none" w:sz="0" w:space="0" w:color="auto"/>
        <w:right w:val="none" w:sz="0" w:space="0" w:color="auto"/>
      </w:divBdr>
      <w:divsChild>
        <w:div w:id="1476491281">
          <w:marLeft w:val="994"/>
          <w:marRight w:val="0"/>
          <w:marTop w:val="160"/>
          <w:marBottom w:val="0"/>
          <w:divBdr>
            <w:top w:val="none" w:sz="0" w:space="0" w:color="auto"/>
            <w:left w:val="none" w:sz="0" w:space="0" w:color="auto"/>
            <w:bottom w:val="none" w:sz="0" w:space="0" w:color="auto"/>
            <w:right w:val="none" w:sz="0" w:space="0" w:color="auto"/>
          </w:divBdr>
        </w:div>
        <w:div w:id="1879201871">
          <w:marLeft w:val="1526"/>
          <w:marRight w:val="0"/>
          <w:marTop w:val="160"/>
          <w:marBottom w:val="0"/>
          <w:divBdr>
            <w:top w:val="none" w:sz="0" w:space="0" w:color="auto"/>
            <w:left w:val="none" w:sz="0" w:space="0" w:color="auto"/>
            <w:bottom w:val="none" w:sz="0" w:space="0" w:color="auto"/>
            <w:right w:val="none" w:sz="0" w:space="0" w:color="auto"/>
          </w:divBdr>
        </w:div>
      </w:divsChild>
    </w:div>
    <w:div w:id="182982960">
      <w:bodyDiv w:val="1"/>
      <w:marLeft w:val="0"/>
      <w:marRight w:val="0"/>
      <w:marTop w:val="0"/>
      <w:marBottom w:val="0"/>
      <w:divBdr>
        <w:top w:val="none" w:sz="0" w:space="0" w:color="auto"/>
        <w:left w:val="none" w:sz="0" w:space="0" w:color="auto"/>
        <w:bottom w:val="none" w:sz="0" w:space="0" w:color="auto"/>
        <w:right w:val="none" w:sz="0" w:space="0" w:color="auto"/>
      </w:divBdr>
    </w:div>
    <w:div w:id="492917329">
      <w:bodyDiv w:val="1"/>
      <w:marLeft w:val="0"/>
      <w:marRight w:val="0"/>
      <w:marTop w:val="0"/>
      <w:marBottom w:val="0"/>
      <w:divBdr>
        <w:top w:val="none" w:sz="0" w:space="0" w:color="auto"/>
        <w:left w:val="none" w:sz="0" w:space="0" w:color="auto"/>
        <w:bottom w:val="none" w:sz="0" w:space="0" w:color="auto"/>
        <w:right w:val="none" w:sz="0" w:space="0" w:color="auto"/>
      </w:divBdr>
    </w:div>
    <w:div w:id="703216424">
      <w:bodyDiv w:val="1"/>
      <w:marLeft w:val="0"/>
      <w:marRight w:val="0"/>
      <w:marTop w:val="0"/>
      <w:marBottom w:val="0"/>
      <w:divBdr>
        <w:top w:val="none" w:sz="0" w:space="0" w:color="auto"/>
        <w:left w:val="none" w:sz="0" w:space="0" w:color="auto"/>
        <w:bottom w:val="none" w:sz="0" w:space="0" w:color="auto"/>
        <w:right w:val="none" w:sz="0" w:space="0" w:color="auto"/>
      </w:divBdr>
    </w:div>
    <w:div w:id="733159147">
      <w:bodyDiv w:val="1"/>
      <w:marLeft w:val="0"/>
      <w:marRight w:val="0"/>
      <w:marTop w:val="0"/>
      <w:marBottom w:val="0"/>
      <w:divBdr>
        <w:top w:val="none" w:sz="0" w:space="0" w:color="auto"/>
        <w:left w:val="none" w:sz="0" w:space="0" w:color="auto"/>
        <w:bottom w:val="none" w:sz="0" w:space="0" w:color="auto"/>
        <w:right w:val="none" w:sz="0" w:space="0" w:color="auto"/>
      </w:divBdr>
    </w:div>
    <w:div w:id="891886272">
      <w:bodyDiv w:val="1"/>
      <w:marLeft w:val="0"/>
      <w:marRight w:val="0"/>
      <w:marTop w:val="0"/>
      <w:marBottom w:val="0"/>
      <w:divBdr>
        <w:top w:val="none" w:sz="0" w:space="0" w:color="auto"/>
        <w:left w:val="none" w:sz="0" w:space="0" w:color="auto"/>
        <w:bottom w:val="none" w:sz="0" w:space="0" w:color="auto"/>
        <w:right w:val="none" w:sz="0" w:space="0" w:color="auto"/>
      </w:divBdr>
      <w:divsChild>
        <w:div w:id="24642128">
          <w:marLeft w:val="1166"/>
          <w:marRight w:val="0"/>
          <w:marTop w:val="80"/>
          <w:marBottom w:val="0"/>
          <w:divBdr>
            <w:top w:val="none" w:sz="0" w:space="0" w:color="auto"/>
            <w:left w:val="none" w:sz="0" w:space="0" w:color="auto"/>
            <w:bottom w:val="none" w:sz="0" w:space="0" w:color="auto"/>
            <w:right w:val="none" w:sz="0" w:space="0" w:color="auto"/>
          </w:divBdr>
        </w:div>
        <w:div w:id="112479048">
          <w:marLeft w:val="1166"/>
          <w:marRight w:val="0"/>
          <w:marTop w:val="80"/>
          <w:marBottom w:val="0"/>
          <w:divBdr>
            <w:top w:val="none" w:sz="0" w:space="0" w:color="auto"/>
            <w:left w:val="none" w:sz="0" w:space="0" w:color="auto"/>
            <w:bottom w:val="none" w:sz="0" w:space="0" w:color="auto"/>
            <w:right w:val="none" w:sz="0" w:space="0" w:color="auto"/>
          </w:divBdr>
        </w:div>
        <w:div w:id="282227363">
          <w:marLeft w:val="1166"/>
          <w:marRight w:val="0"/>
          <w:marTop w:val="80"/>
          <w:marBottom w:val="0"/>
          <w:divBdr>
            <w:top w:val="none" w:sz="0" w:space="0" w:color="auto"/>
            <w:left w:val="none" w:sz="0" w:space="0" w:color="auto"/>
            <w:bottom w:val="none" w:sz="0" w:space="0" w:color="auto"/>
            <w:right w:val="none" w:sz="0" w:space="0" w:color="auto"/>
          </w:divBdr>
        </w:div>
        <w:div w:id="481822326">
          <w:marLeft w:val="1166"/>
          <w:marRight w:val="0"/>
          <w:marTop w:val="80"/>
          <w:marBottom w:val="0"/>
          <w:divBdr>
            <w:top w:val="none" w:sz="0" w:space="0" w:color="auto"/>
            <w:left w:val="none" w:sz="0" w:space="0" w:color="auto"/>
            <w:bottom w:val="none" w:sz="0" w:space="0" w:color="auto"/>
            <w:right w:val="none" w:sz="0" w:space="0" w:color="auto"/>
          </w:divBdr>
        </w:div>
        <w:div w:id="783771983">
          <w:marLeft w:val="547"/>
          <w:marRight w:val="0"/>
          <w:marTop w:val="80"/>
          <w:marBottom w:val="0"/>
          <w:divBdr>
            <w:top w:val="none" w:sz="0" w:space="0" w:color="auto"/>
            <w:left w:val="none" w:sz="0" w:space="0" w:color="auto"/>
            <w:bottom w:val="none" w:sz="0" w:space="0" w:color="auto"/>
            <w:right w:val="none" w:sz="0" w:space="0" w:color="auto"/>
          </w:divBdr>
        </w:div>
        <w:div w:id="1080978310">
          <w:marLeft w:val="1166"/>
          <w:marRight w:val="0"/>
          <w:marTop w:val="80"/>
          <w:marBottom w:val="0"/>
          <w:divBdr>
            <w:top w:val="none" w:sz="0" w:space="0" w:color="auto"/>
            <w:left w:val="none" w:sz="0" w:space="0" w:color="auto"/>
            <w:bottom w:val="none" w:sz="0" w:space="0" w:color="auto"/>
            <w:right w:val="none" w:sz="0" w:space="0" w:color="auto"/>
          </w:divBdr>
        </w:div>
        <w:div w:id="1596791642">
          <w:marLeft w:val="1166"/>
          <w:marRight w:val="0"/>
          <w:marTop w:val="80"/>
          <w:marBottom w:val="0"/>
          <w:divBdr>
            <w:top w:val="none" w:sz="0" w:space="0" w:color="auto"/>
            <w:left w:val="none" w:sz="0" w:space="0" w:color="auto"/>
            <w:bottom w:val="none" w:sz="0" w:space="0" w:color="auto"/>
            <w:right w:val="none" w:sz="0" w:space="0" w:color="auto"/>
          </w:divBdr>
        </w:div>
        <w:div w:id="1673871287">
          <w:marLeft w:val="547"/>
          <w:marRight w:val="0"/>
          <w:marTop w:val="80"/>
          <w:marBottom w:val="0"/>
          <w:divBdr>
            <w:top w:val="none" w:sz="0" w:space="0" w:color="auto"/>
            <w:left w:val="none" w:sz="0" w:space="0" w:color="auto"/>
            <w:bottom w:val="none" w:sz="0" w:space="0" w:color="auto"/>
            <w:right w:val="none" w:sz="0" w:space="0" w:color="auto"/>
          </w:divBdr>
        </w:div>
      </w:divsChild>
    </w:div>
    <w:div w:id="1542278914">
      <w:bodyDiv w:val="1"/>
      <w:marLeft w:val="0"/>
      <w:marRight w:val="0"/>
      <w:marTop w:val="0"/>
      <w:marBottom w:val="0"/>
      <w:divBdr>
        <w:top w:val="none" w:sz="0" w:space="0" w:color="auto"/>
        <w:left w:val="none" w:sz="0" w:space="0" w:color="auto"/>
        <w:bottom w:val="none" w:sz="0" w:space="0" w:color="auto"/>
        <w:right w:val="none" w:sz="0" w:space="0" w:color="auto"/>
      </w:divBdr>
    </w:div>
    <w:div w:id="1645426980">
      <w:bodyDiv w:val="1"/>
      <w:marLeft w:val="0"/>
      <w:marRight w:val="0"/>
      <w:marTop w:val="0"/>
      <w:marBottom w:val="0"/>
      <w:divBdr>
        <w:top w:val="none" w:sz="0" w:space="0" w:color="auto"/>
        <w:left w:val="none" w:sz="0" w:space="0" w:color="auto"/>
        <w:bottom w:val="none" w:sz="0" w:space="0" w:color="auto"/>
        <w:right w:val="none" w:sz="0" w:space="0" w:color="auto"/>
      </w:divBdr>
      <w:divsChild>
        <w:div w:id="265189250">
          <w:marLeft w:val="446"/>
          <w:marRight w:val="0"/>
          <w:marTop w:val="180"/>
          <w:marBottom w:val="0"/>
          <w:divBdr>
            <w:top w:val="none" w:sz="0" w:space="0" w:color="auto"/>
            <w:left w:val="none" w:sz="0" w:space="0" w:color="auto"/>
            <w:bottom w:val="none" w:sz="0" w:space="0" w:color="auto"/>
            <w:right w:val="none" w:sz="0" w:space="0" w:color="auto"/>
          </w:divBdr>
        </w:div>
      </w:divsChild>
    </w:div>
    <w:div w:id="1872113069">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footer" Target="footer3.xml"/><Relationship Id="rId18" Type="http://schemas.openxmlformats.org/officeDocument/2006/relationships/header" Target="header5.xml"/><Relationship Id="rId26" Type="http://schemas.openxmlformats.org/officeDocument/2006/relationships/image" Target="media/image5.emf"/><Relationship Id="rId39" Type="http://schemas.openxmlformats.org/officeDocument/2006/relationships/image" Target="media/image14.emf"/><Relationship Id="rId3" Type="http://schemas.openxmlformats.org/officeDocument/2006/relationships/styles" Target="styles.xml"/><Relationship Id="rId21" Type="http://schemas.openxmlformats.org/officeDocument/2006/relationships/footer" Target="footer4.xml"/><Relationship Id="rId34" Type="http://schemas.openxmlformats.org/officeDocument/2006/relationships/image" Target="media/image11.emf"/><Relationship Id="rId42" Type="http://schemas.openxmlformats.org/officeDocument/2006/relationships/image" Target="media/image17.emf"/><Relationship Id="rId47" Type="http://schemas.openxmlformats.org/officeDocument/2006/relationships/image" Target="media/image20.emf"/><Relationship Id="rId50" Type="http://schemas.openxmlformats.org/officeDocument/2006/relationships/image" Target="media/image23.emf"/><Relationship Id="rId7" Type="http://schemas.openxmlformats.org/officeDocument/2006/relationships/endnotes" Target="endnotes.xml"/><Relationship Id="rId12" Type="http://schemas.openxmlformats.org/officeDocument/2006/relationships/header" Target="header3.xml"/><Relationship Id="rId17" Type="http://schemas.openxmlformats.org/officeDocument/2006/relationships/header" Target="header4.xml"/><Relationship Id="rId25" Type="http://schemas.openxmlformats.org/officeDocument/2006/relationships/image" Target="media/image4.emf"/><Relationship Id="rId33" Type="http://schemas.openxmlformats.org/officeDocument/2006/relationships/image" Target="media/image10.emf"/><Relationship Id="rId38" Type="http://schemas.openxmlformats.org/officeDocument/2006/relationships/image" Target="media/image13.emf"/><Relationship Id="rId46" Type="http://schemas.openxmlformats.org/officeDocument/2006/relationships/image" Target="media/image19.emf"/><Relationship Id="rId2" Type="http://schemas.openxmlformats.org/officeDocument/2006/relationships/numbering" Target="numbering.xml"/><Relationship Id="rId16" Type="http://schemas.openxmlformats.org/officeDocument/2006/relationships/image" Target="media/image20.png"/><Relationship Id="rId20" Type="http://schemas.openxmlformats.org/officeDocument/2006/relationships/header" Target="header7.xml"/><Relationship Id="rId29" Type="http://schemas.openxmlformats.org/officeDocument/2006/relationships/header" Target="header10.xml"/><Relationship Id="rId41" Type="http://schemas.openxmlformats.org/officeDocument/2006/relationships/image" Target="media/image16.png"/><Relationship Id="rId54"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2.xml"/><Relationship Id="rId24" Type="http://schemas.openxmlformats.org/officeDocument/2006/relationships/image" Target="media/image3.emf"/><Relationship Id="rId32" Type="http://schemas.openxmlformats.org/officeDocument/2006/relationships/image" Target="media/image9.emf"/><Relationship Id="rId37" Type="http://schemas.openxmlformats.org/officeDocument/2006/relationships/header" Target="header13.xml"/><Relationship Id="rId40" Type="http://schemas.openxmlformats.org/officeDocument/2006/relationships/image" Target="media/image15.emf"/><Relationship Id="rId45" Type="http://schemas.openxmlformats.org/officeDocument/2006/relationships/header" Target="header15.xml"/><Relationship Id="rId53" Type="http://schemas.openxmlformats.org/officeDocument/2006/relationships/fontTable" Target="fontTable.xml"/><Relationship Id="rId5" Type="http://schemas.openxmlformats.org/officeDocument/2006/relationships/webSettings" Target="webSettings.xml"/><Relationship Id="rId15" Type="http://schemas.openxmlformats.org/officeDocument/2006/relationships/image" Target="media/image2.png"/><Relationship Id="rId23" Type="http://schemas.openxmlformats.org/officeDocument/2006/relationships/header" Target="header9.xml"/><Relationship Id="rId28" Type="http://schemas.openxmlformats.org/officeDocument/2006/relationships/image" Target="media/image7.emf"/><Relationship Id="rId36" Type="http://schemas.openxmlformats.org/officeDocument/2006/relationships/header" Target="header12.xml"/><Relationship Id="rId49" Type="http://schemas.openxmlformats.org/officeDocument/2006/relationships/image" Target="media/image22.emf"/><Relationship Id="rId10" Type="http://schemas.openxmlformats.org/officeDocument/2006/relationships/footer" Target="footer1.xml"/><Relationship Id="rId19" Type="http://schemas.openxmlformats.org/officeDocument/2006/relationships/header" Target="header6.xml"/><Relationship Id="rId31" Type="http://schemas.openxmlformats.org/officeDocument/2006/relationships/image" Target="media/image8.emf"/><Relationship Id="rId44" Type="http://schemas.openxmlformats.org/officeDocument/2006/relationships/header" Target="header14.xml"/><Relationship Id="rId52" Type="http://schemas.openxmlformats.org/officeDocument/2006/relationships/header" Target="header17.xml"/><Relationship Id="rId4" Type="http://schemas.openxmlformats.org/officeDocument/2006/relationships/settings" Target="settings.xml"/><Relationship Id="rId9" Type="http://schemas.openxmlformats.org/officeDocument/2006/relationships/header" Target="header2.xml"/><Relationship Id="rId14" Type="http://schemas.openxmlformats.org/officeDocument/2006/relationships/image" Target="media/image1.jpeg"/><Relationship Id="rId22" Type="http://schemas.openxmlformats.org/officeDocument/2006/relationships/header" Target="header8.xml"/><Relationship Id="rId27" Type="http://schemas.openxmlformats.org/officeDocument/2006/relationships/image" Target="media/image6.emf"/><Relationship Id="rId30" Type="http://schemas.openxmlformats.org/officeDocument/2006/relationships/header" Target="header11.xml"/><Relationship Id="rId35" Type="http://schemas.openxmlformats.org/officeDocument/2006/relationships/image" Target="media/image12.emf"/><Relationship Id="rId43" Type="http://schemas.openxmlformats.org/officeDocument/2006/relationships/image" Target="media/image18.emf"/><Relationship Id="rId48" Type="http://schemas.openxmlformats.org/officeDocument/2006/relationships/image" Target="media/image21.emf"/><Relationship Id="rId8" Type="http://schemas.openxmlformats.org/officeDocument/2006/relationships/header" Target="header1.xml"/><Relationship Id="rId51" Type="http://schemas.openxmlformats.org/officeDocument/2006/relationships/header" Target="header16.xml"/></Relationships>
</file>

<file path=word/_rels/footnotes.xml.rels><?xml version="1.0" encoding="UTF-8" standalone="yes"?>
<Relationships xmlns="http://schemas.openxmlformats.org/package/2006/relationships"><Relationship Id="rId3" Type="http://schemas.openxmlformats.org/officeDocument/2006/relationships/hyperlink" Target="https://www.nrel.gov/docs/fy19osti/74184.pdf" TargetMode="External"/><Relationship Id="rId2" Type="http://schemas.openxmlformats.org/officeDocument/2006/relationships/hyperlink" Target="https://documents.dps.ny.gov/public/Common/ViewDoc.aspx?DocRefId=%7B9D20EBBD-4DF8-4E4E-BEC1-F4452345EBFA%7D" TargetMode="External"/><Relationship Id="rId1" Type="http://schemas.openxmlformats.org/officeDocument/2006/relationships/hyperlink" Target="https://documents.dps.ny.gov/public/Common/ViewDoc.aspx?DocRefId=%7B9D20EBBD-4DF8-4E4E-BEC1-F4452345EBFA%7D" TargetMode="External"/><Relationship Id="rId6" Type="http://schemas.openxmlformats.org/officeDocument/2006/relationships/hyperlink" Target="https://www.iso-ne.com/static-assets/documents/committees/comm_wkgrps/mrkts_comm/mrkts/mtrls/2013/sep10112013/a12a_iso_memo_09_04_13.pdf" TargetMode="External"/><Relationship Id="rId5" Type="http://schemas.openxmlformats.org/officeDocument/2006/relationships/hyperlink" Target="https://www.nrel.gov/docs/fy19osti/74184.pdf" TargetMode="External"/><Relationship Id="rId4" Type="http://schemas.openxmlformats.org/officeDocument/2006/relationships/hyperlink" Target="https://www.nyiso.com/documents/20142/4358080/01082019%20Capacity%20Value%20of%20Resources%20with%20Energy%20Limitations_v2.pdf/3499da16-12d8-16b7-b12f-be7650e64b63"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solidFill>
          <a:schemeClr val="bg1">
            <a:lumMod val="65000"/>
          </a:schemeClr>
        </a:solidFill>
        <a:ln>
          <a:noFill/>
        </a:ln>
        <a:effectLst/>
      </a:spPr>
      <a:bodyPr rot="0" spcFirstLastPara="0" vertOverflow="overflow" horzOverflow="overflow" vert="horz" wrap="square" lIns="91440" tIns="45720" rIns="91440" bIns="45720" numCol="1" spcCol="0" rtlCol="0" fromWordArt="0" anchor="ctr" anchorCtr="0" forceAA="0" compatLnSpc="1">
        <a:prstTxWarp prst="textNoShape">
          <a:avLst/>
        </a:prstTxWarp>
        <a:noAutofit/>
      </a:bodyPr>
      <a:lstStyle/>
      <a:style>
        <a:lnRef idx="1">
          <a:schemeClr val="accent1"/>
        </a:lnRef>
        <a:fillRef idx="3">
          <a:schemeClr val="accent1"/>
        </a:fillRef>
        <a:effectRef idx="2">
          <a:schemeClr val="accent1"/>
        </a:effectRef>
        <a:fontRef idx="minor">
          <a:schemeClr val="lt1"/>
        </a:fontRef>
      </a:style>
    </a:spDef>
    <a:lnDef>
      <a:spPr bwMode="auto">
        <a:noFill/>
        <a:ln w="15875">
          <a:solidFill>
            <a:schemeClr val="bg1">
              <a:lumMod val="50000"/>
            </a:schemeClr>
          </a:solidFill>
          <a:round/>
          <a:headEnd/>
          <a:tailEnd/>
        </a:ln>
        <a:extLst>
          <a:ext uri="{909E8E84-426E-40DD-AFC4-6F175D3DCCD1}">
            <a14:hiddenFill xmlns:a14="http://schemas.microsoft.com/office/drawing/2010/main">
              <a:noFill/>
            </a14:hiddenFill>
          </a:ext>
        </a:extLst>
      </a:spPr>
      <a:bodyPr/>
      <a:lst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Sixth Edition"/>
</file>

<file path=customXml/itemProps1.xml><?xml version="1.0" encoding="utf-8"?>
<ds:datastoreItem xmlns:ds="http://schemas.openxmlformats.org/officeDocument/2006/customXml" ds:itemID="{6C9650AE-CA09-4F4E-A7C7-72EE3C34DB2C}">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52</Pages>
  <Words>11668</Words>
  <Characters>66514</Characters>
  <Application>Microsoft Office Word</Application>
  <DocSecurity>0</DocSecurity>
  <Lines>554</Lines>
  <Paragraphs>156</Paragraphs>
  <ScaleCrop>false</ScaleCrop>
  <Company/>
  <LinksUpToDate>false</LinksUpToDate>
  <CharactersWithSpaces>78026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
  <cp:keywords/>
  <dc:description/>
  <cp:lastModifiedBy/>
  <cp:revision>1</cp:revision>
  <dcterms:created xsi:type="dcterms:W3CDTF">2021-11-04T13:04:00Z</dcterms:created>
  <dcterms:modified xsi:type="dcterms:W3CDTF">2021-11-04T13:04:00Z</dcterms:modified>
</cp:coreProperties>
</file>